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055F0979"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w:t>
      </w:r>
      <w:r w:rsidR="002A7847">
        <w:rPr>
          <w:b/>
          <w:bCs/>
          <w:sz w:val="24"/>
          <w:szCs w:val="24"/>
          <w:lang w:eastAsia="ja-JP"/>
        </w:rPr>
        <w:t>1</w:t>
      </w:r>
      <w:r w:rsidR="00114DB0">
        <w:rPr>
          <w:b/>
          <w:bCs/>
          <w:sz w:val="24"/>
          <w:szCs w:val="24"/>
          <w:lang w:eastAsia="ja-JP"/>
        </w:rPr>
        <w:t>3-</w:t>
      </w:r>
      <w:r w:rsidR="002A7847">
        <w:rPr>
          <w:b/>
          <w:bCs/>
          <w:sz w:val="24"/>
          <w:szCs w:val="24"/>
          <w:lang w:eastAsia="ja-JP"/>
        </w:rPr>
        <w:t>e</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w:t>
      </w:r>
      <w:r w:rsidR="002A7847">
        <w:rPr>
          <w:b/>
          <w:noProof/>
          <w:sz w:val="28"/>
        </w:rPr>
        <w:t>2</w:t>
      </w:r>
      <w:r w:rsidR="0083285A">
        <w:rPr>
          <w:b/>
          <w:noProof/>
          <w:sz w:val="28"/>
        </w:rPr>
        <w:t>1</w:t>
      </w:r>
      <w:r w:rsidR="002A7847">
        <w:rPr>
          <w:b/>
          <w:noProof/>
          <w:sz w:val="28"/>
        </w:rPr>
        <w:t>0</w:t>
      </w:r>
      <w:r w:rsidR="00C4378C">
        <w:rPr>
          <w:b/>
          <w:noProof/>
          <w:sz w:val="28"/>
        </w:rPr>
        <w:t>0</w:t>
      </w:r>
      <w:r w:rsidR="0083285A">
        <w:rPr>
          <w:b/>
          <w:noProof/>
          <w:sz w:val="28"/>
        </w:rPr>
        <w:t>26</w:t>
      </w:r>
      <w:r w:rsidR="00DC209A">
        <w:rPr>
          <w:b/>
          <w:noProof/>
          <w:sz w:val="28"/>
        </w:rPr>
        <w:t>6</w:t>
      </w:r>
    </w:p>
    <w:p w14:paraId="142E7EB2" w14:textId="28941EE3" w:rsidR="00156A1A" w:rsidRDefault="002A7847" w:rsidP="00156A1A">
      <w:pPr>
        <w:pStyle w:val="CRCoverPage"/>
        <w:rPr>
          <w:b/>
          <w:noProof/>
          <w:sz w:val="24"/>
        </w:rPr>
      </w:pPr>
      <w:r>
        <w:rPr>
          <w:b/>
          <w:sz w:val="24"/>
          <w:szCs w:val="24"/>
        </w:rPr>
        <w:t>Online</w:t>
      </w:r>
      <w:r w:rsidR="00B50CBC">
        <w:rPr>
          <w:b/>
          <w:sz w:val="24"/>
          <w:szCs w:val="24"/>
        </w:rPr>
        <w:t xml:space="preserve">, </w:t>
      </w:r>
      <w:r w:rsidR="00114DB0">
        <w:rPr>
          <w:b/>
          <w:sz w:val="24"/>
          <w:szCs w:val="24"/>
        </w:rPr>
        <w:t>Jan 25</w:t>
      </w:r>
      <w:r w:rsidR="00114DB0" w:rsidRPr="00114DB0">
        <w:rPr>
          <w:b/>
          <w:sz w:val="24"/>
          <w:szCs w:val="24"/>
          <w:vertAlign w:val="superscript"/>
        </w:rPr>
        <w:t>th</w:t>
      </w:r>
      <w:r w:rsidR="00114DB0">
        <w:rPr>
          <w:b/>
          <w:sz w:val="24"/>
          <w:szCs w:val="24"/>
        </w:rPr>
        <w:t xml:space="preserve"> </w:t>
      </w:r>
      <w:r w:rsidR="00B50CBC">
        <w:rPr>
          <w:b/>
          <w:sz w:val="24"/>
          <w:szCs w:val="24"/>
        </w:rPr>
        <w:t>–</w:t>
      </w:r>
      <w:r w:rsidR="005A4A8D">
        <w:rPr>
          <w:b/>
          <w:sz w:val="24"/>
          <w:szCs w:val="24"/>
        </w:rPr>
        <w:t xml:space="preserve"> </w:t>
      </w:r>
      <w:r w:rsidR="00114DB0">
        <w:rPr>
          <w:b/>
          <w:sz w:val="24"/>
          <w:szCs w:val="24"/>
        </w:rPr>
        <w:t>Feb 05</w:t>
      </w:r>
      <w:r w:rsidR="00B50CBC" w:rsidRPr="00B50CBC">
        <w:rPr>
          <w:b/>
          <w:sz w:val="24"/>
          <w:szCs w:val="24"/>
          <w:vertAlign w:val="superscript"/>
        </w:rPr>
        <w:t>th</w:t>
      </w:r>
      <w:r w:rsidR="00B50CBC">
        <w:rPr>
          <w:b/>
          <w:sz w:val="24"/>
          <w:szCs w:val="24"/>
        </w:rPr>
        <w:t xml:space="preserve"> </w:t>
      </w:r>
      <w:r w:rsidR="00853B5C">
        <w:rPr>
          <w:b/>
          <w:sz w:val="24"/>
          <w:szCs w:val="24"/>
        </w:rPr>
        <w:t>Nov</w:t>
      </w:r>
      <w:r w:rsidR="002C600F" w:rsidRPr="009E4773">
        <w:rPr>
          <w:b/>
          <w:sz w:val="24"/>
          <w:szCs w:val="24"/>
        </w:rPr>
        <w:t xml:space="preserve"> </w:t>
      </w:r>
      <w:r w:rsidR="00F5683C">
        <w:rPr>
          <w:b/>
          <w:sz w:val="24"/>
          <w:szCs w:val="24"/>
        </w:rPr>
        <w:t>20</w:t>
      </w:r>
      <w:r>
        <w:rPr>
          <w:b/>
          <w:sz w:val="24"/>
          <w:szCs w:val="24"/>
        </w:rPr>
        <w:t>2</w:t>
      </w:r>
      <w:r w:rsidR="00114DB0">
        <w:rPr>
          <w:b/>
          <w:sz w:val="24"/>
          <w:szCs w:val="24"/>
        </w:rPr>
        <w:t>1</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455F9F09" w:rsidR="00156A1A" w:rsidRPr="009A6513" w:rsidRDefault="001B28F8" w:rsidP="0000505D">
      <w:pPr>
        <w:pStyle w:val="CRCoverPage"/>
        <w:ind w:left="1988" w:hanging="1988"/>
        <w:rPr>
          <w:b/>
          <w:noProof/>
          <w:sz w:val="24"/>
        </w:rPr>
      </w:pPr>
      <w:r>
        <w:rPr>
          <w:b/>
          <w:noProof/>
          <w:sz w:val="24"/>
        </w:rPr>
        <w:t>Agenda Item:</w:t>
      </w:r>
      <w:r>
        <w:rPr>
          <w:b/>
          <w:noProof/>
          <w:sz w:val="24"/>
        </w:rPr>
        <w:tab/>
      </w:r>
      <w:r w:rsidR="00853B5C">
        <w:rPr>
          <w:b/>
          <w:noProof/>
          <w:sz w:val="24"/>
        </w:rPr>
        <w:t>9</w:t>
      </w:r>
      <w:r w:rsidR="00D26A64" w:rsidRPr="00D26A64">
        <w:rPr>
          <w:b/>
          <w:noProof/>
          <w:sz w:val="24"/>
        </w:rPr>
        <w:t>.</w:t>
      </w:r>
      <w:r w:rsidR="00853B5C">
        <w:rPr>
          <w:b/>
          <w:noProof/>
          <w:sz w:val="24"/>
        </w:rPr>
        <w:t>2</w:t>
      </w:r>
      <w:r w:rsidR="00D26A64" w:rsidRPr="00D26A64">
        <w:rPr>
          <w:b/>
          <w:noProof/>
          <w:sz w:val="24"/>
        </w:rPr>
        <w:t>.</w:t>
      </w:r>
      <w:r w:rsidR="006969E8">
        <w:rPr>
          <w:b/>
          <w:noProof/>
          <w:sz w:val="24"/>
        </w:rPr>
        <w:t>2</w:t>
      </w:r>
      <w:r w:rsidR="00D26A64" w:rsidRPr="00D26A64">
        <w:rPr>
          <w:b/>
          <w:noProof/>
          <w:sz w:val="24"/>
        </w:rPr>
        <w:t xml:space="preserve"> </w:t>
      </w:r>
    </w:p>
    <w:p w14:paraId="7CEDB2D8" w14:textId="6B13EF53"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6A783A">
        <w:rPr>
          <w:b/>
          <w:noProof/>
          <w:sz w:val="24"/>
        </w:rPr>
        <w:t>, Eutelsat</w:t>
      </w:r>
    </w:p>
    <w:p w14:paraId="45F2FD0F" w14:textId="2230C98A"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DC209A">
        <w:rPr>
          <w:b/>
          <w:noProof/>
          <w:sz w:val="24"/>
        </w:rPr>
        <w:t>Connected Mode Mobility in IoT-</w:t>
      </w:r>
      <w:r w:rsidR="00833CEA">
        <w:rPr>
          <w:b/>
          <w:noProof/>
          <w:sz w:val="24"/>
        </w:rPr>
        <w:t>N</w:t>
      </w:r>
      <w:r w:rsidR="002A7847">
        <w:rPr>
          <w:b/>
          <w:noProof/>
          <w:sz w:val="24"/>
        </w:rPr>
        <w:t>TN</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098CE1A2" w14:textId="5C97FA2B" w:rsidR="00E90A76" w:rsidRDefault="003316B9" w:rsidP="00E90A76">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Large propagation delay and wide geographical coverage of beam</w:t>
      </w:r>
      <w:r w:rsidR="002A7847">
        <w:rPr>
          <w:rFonts w:ascii="Arial" w:eastAsia="MS Mincho" w:hAnsi="Arial" w:cs="Arial"/>
          <w:szCs w:val="24"/>
          <w:lang w:eastAsia="en-GB"/>
        </w:rPr>
        <w:t>-</w:t>
      </w:r>
      <w:r>
        <w:rPr>
          <w:rFonts w:ascii="Arial" w:eastAsia="MS Mincho" w:hAnsi="Arial" w:cs="Arial"/>
          <w:szCs w:val="24"/>
          <w:lang w:eastAsia="en-GB"/>
        </w:rPr>
        <w:t>s</w:t>
      </w:r>
      <w:r w:rsidR="002A7847">
        <w:rPr>
          <w:rFonts w:ascii="Arial" w:eastAsia="MS Mincho" w:hAnsi="Arial" w:cs="Arial"/>
          <w:szCs w:val="24"/>
          <w:lang w:eastAsia="en-GB"/>
        </w:rPr>
        <w:t>pots (cells)</w:t>
      </w:r>
      <w:r>
        <w:rPr>
          <w:rFonts w:ascii="Arial" w:eastAsia="MS Mincho" w:hAnsi="Arial" w:cs="Arial"/>
          <w:szCs w:val="24"/>
          <w:lang w:eastAsia="en-GB"/>
        </w:rPr>
        <w:t xml:space="preserve"> result in significant </w:t>
      </w:r>
      <w:r w:rsidR="002A7847">
        <w:rPr>
          <w:rFonts w:ascii="Arial" w:eastAsia="MS Mincho" w:hAnsi="Arial" w:cs="Arial"/>
          <w:szCs w:val="24"/>
          <w:lang w:eastAsia="en-GB"/>
        </w:rPr>
        <w:t xml:space="preserve">increase in round-trip </w:t>
      </w:r>
      <w:r w:rsidR="00E90A76">
        <w:rPr>
          <w:rFonts w:ascii="Arial" w:eastAsia="MS Mincho" w:hAnsi="Arial" w:cs="Arial"/>
          <w:szCs w:val="24"/>
          <w:lang w:eastAsia="en-GB"/>
        </w:rPr>
        <w:t>time</w:t>
      </w:r>
      <w:r w:rsidR="002A7847">
        <w:rPr>
          <w:rFonts w:ascii="Arial" w:eastAsia="MS Mincho" w:hAnsi="Arial" w:cs="Arial"/>
          <w:szCs w:val="24"/>
          <w:lang w:eastAsia="en-GB"/>
        </w:rPr>
        <w:t xml:space="preserve"> (RT</w:t>
      </w:r>
      <w:r w:rsidR="00E90A76">
        <w:rPr>
          <w:rFonts w:ascii="Arial" w:eastAsia="MS Mincho" w:hAnsi="Arial" w:cs="Arial"/>
          <w:szCs w:val="24"/>
          <w:lang w:eastAsia="en-GB"/>
        </w:rPr>
        <w:t>T</w:t>
      </w:r>
      <w:r w:rsidR="002A7847">
        <w:rPr>
          <w:rFonts w:ascii="Arial" w:eastAsia="MS Mincho" w:hAnsi="Arial" w:cs="Arial"/>
          <w:szCs w:val="24"/>
          <w:lang w:eastAsia="en-GB"/>
        </w:rPr>
        <w:t xml:space="preserve">) and </w:t>
      </w:r>
      <w:r>
        <w:rPr>
          <w:rFonts w:ascii="Arial" w:eastAsia="MS Mincho" w:hAnsi="Arial" w:cs="Arial"/>
          <w:szCs w:val="24"/>
          <w:lang w:eastAsia="en-GB"/>
        </w:rPr>
        <w:t xml:space="preserve">delay difference </w:t>
      </w:r>
      <w:r w:rsidR="002A7847">
        <w:rPr>
          <w:rFonts w:ascii="Arial" w:eastAsia="MS Mincho" w:hAnsi="Arial" w:cs="Arial"/>
          <w:szCs w:val="24"/>
          <w:lang w:eastAsia="en-GB"/>
        </w:rPr>
        <w:t>in NTN</w:t>
      </w:r>
      <w:r>
        <w:rPr>
          <w:rFonts w:ascii="Arial" w:eastAsia="MS Mincho" w:hAnsi="Arial" w:cs="Arial"/>
          <w:szCs w:val="24"/>
          <w:lang w:eastAsia="en-GB"/>
        </w:rPr>
        <w:t xml:space="preserve">. </w:t>
      </w:r>
      <w:r w:rsidR="00102E15">
        <w:rPr>
          <w:rFonts w:ascii="Arial" w:eastAsia="MS Mincho" w:hAnsi="Arial" w:cs="Arial"/>
          <w:szCs w:val="24"/>
          <w:lang w:eastAsia="en-GB"/>
        </w:rPr>
        <w:t>The effects of this high RTD and delay difference were discussed and analysed during the Rel. 16 NR-NTN Study Item (SI)</w:t>
      </w:r>
      <w:r w:rsidR="005631AA">
        <w:rPr>
          <w:rFonts w:ascii="Arial" w:eastAsia="MS Mincho" w:hAnsi="Arial" w:cs="Arial"/>
          <w:szCs w:val="24"/>
          <w:lang w:eastAsia="en-GB"/>
        </w:rPr>
        <w:t xml:space="preserve"> [1]</w:t>
      </w:r>
      <w:r w:rsidR="00102E15">
        <w:rPr>
          <w:rFonts w:ascii="Arial" w:eastAsia="MS Mincho" w:hAnsi="Arial" w:cs="Arial"/>
          <w:szCs w:val="24"/>
          <w:lang w:eastAsia="en-GB"/>
        </w:rPr>
        <w:t>.</w:t>
      </w:r>
      <w:r w:rsidR="001E13F4">
        <w:rPr>
          <w:rFonts w:ascii="Arial" w:eastAsia="MS Mincho" w:hAnsi="Arial" w:cs="Arial"/>
          <w:szCs w:val="24"/>
          <w:lang w:eastAsia="en-GB"/>
        </w:rPr>
        <w:t xml:space="preserve"> </w:t>
      </w:r>
      <w:r w:rsidR="00E90A76">
        <w:rPr>
          <w:rFonts w:ascii="Arial" w:eastAsia="MS Mincho" w:hAnsi="Arial" w:cs="Arial"/>
          <w:szCs w:val="24"/>
          <w:lang w:eastAsia="en-GB"/>
        </w:rPr>
        <w:t>Besides this high speed of the LEO satellite with moving cells further complicates the connected mode mobility (handover) in LEO-NTN. In order to alleviate the problems and resolve the challenges, the usage of Conditional Handover (CHO) and introduction of new events are recently agreed in NR-NTN WI in RAN2 112-e. The major agreements achieved in this respect are mentioned in the table below</w:t>
      </w:r>
      <w:r w:rsidR="001C68EC">
        <w:rPr>
          <w:rFonts w:ascii="Arial" w:eastAsia="MS Mincho" w:hAnsi="Arial" w:cs="Arial"/>
          <w:szCs w:val="24"/>
          <w:lang w:eastAsia="en-GB"/>
        </w:rPr>
        <w:t xml:space="preserve"> [2]</w:t>
      </w:r>
      <w:r w:rsidR="00E90A76">
        <w:rPr>
          <w:rFonts w:ascii="Arial" w:eastAsia="MS Mincho" w:hAnsi="Arial" w:cs="Arial"/>
          <w:szCs w:val="24"/>
          <w:lang w:eastAsia="en-GB"/>
        </w:rPr>
        <w:t>.</w:t>
      </w:r>
    </w:p>
    <w:p w14:paraId="3A4ED045" w14:textId="77777777" w:rsidR="001E13F4" w:rsidRDefault="001E13F4" w:rsidP="003316B9">
      <w:pPr>
        <w:tabs>
          <w:tab w:val="left" w:pos="1622"/>
        </w:tabs>
        <w:spacing w:after="0"/>
        <w:jc w:val="both"/>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9017"/>
      </w:tblGrid>
      <w:tr w:rsidR="001E13F4" w14:paraId="272A22E7" w14:textId="77777777" w:rsidTr="001E13F4">
        <w:tc>
          <w:tcPr>
            <w:tcW w:w="10457" w:type="dxa"/>
          </w:tcPr>
          <w:p w14:paraId="29DE6083" w14:textId="77777777" w:rsidR="00E90A76" w:rsidRPr="00E90A76" w:rsidRDefault="00E90A76" w:rsidP="00E90A76">
            <w:pPr>
              <w:pStyle w:val="ListParagraph"/>
              <w:numPr>
                <w:ilvl w:val="0"/>
                <w:numId w:val="22"/>
              </w:numPr>
              <w:tabs>
                <w:tab w:val="left" w:pos="1622"/>
              </w:tabs>
              <w:jc w:val="both"/>
              <w:rPr>
                <w:rFonts w:ascii="Arial" w:eastAsia="MS Mincho" w:hAnsi="Arial" w:cs="Arial"/>
                <w:sz w:val="20"/>
                <w:szCs w:val="24"/>
                <w:lang w:eastAsia="en-GB"/>
              </w:rPr>
            </w:pPr>
            <w:r w:rsidRPr="00E90A76">
              <w:rPr>
                <w:rFonts w:ascii="Arial" w:eastAsia="MS Mincho" w:hAnsi="Arial" w:cs="Arial"/>
                <w:sz w:val="20"/>
                <w:szCs w:val="24"/>
                <w:lang w:eastAsia="en-GB"/>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5D9896B9" w14:textId="77777777" w:rsidR="00E90A76" w:rsidRPr="00E90A76" w:rsidRDefault="00E90A76" w:rsidP="00E90A76">
            <w:pPr>
              <w:pStyle w:val="ListParagraph"/>
              <w:numPr>
                <w:ilvl w:val="0"/>
                <w:numId w:val="22"/>
              </w:numPr>
              <w:tabs>
                <w:tab w:val="left" w:pos="1622"/>
              </w:tabs>
              <w:jc w:val="both"/>
              <w:rPr>
                <w:rFonts w:ascii="Arial" w:eastAsia="MS Mincho" w:hAnsi="Arial" w:cs="Arial"/>
                <w:sz w:val="20"/>
                <w:szCs w:val="24"/>
                <w:lang w:eastAsia="en-GB"/>
              </w:rPr>
            </w:pPr>
            <w:r w:rsidRPr="00E90A76">
              <w:rPr>
                <w:rFonts w:ascii="Arial" w:eastAsia="MS Mincho" w:hAnsi="Arial" w:cs="Arial"/>
                <w:sz w:val="20"/>
                <w:szCs w:val="24"/>
                <w:lang w:eastAsia="en-GB"/>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5B24A065" w14:textId="633A2FCC" w:rsidR="001E13F4" w:rsidRPr="00E90A76" w:rsidRDefault="00E90A76" w:rsidP="00E90A76">
            <w:pPr>
              <w:pStyle w:val="ListParagraph"/>
              <w:numPr>
                <w:ilvl w:val="0"/>
                <w:numId w:val="22"/>
              </w:numPr>
              <w:tabs>
                <w:tab w:val="left" w:pos="1622"/>
              </w:tabs>
              <w:jc w:val="both"/>
              <w:rPr>
                <w:rFonts w:ascii="Arial" w:eastAsia="MS Mincho" w:hAnsi="Arial" w:cs="Arial"/>
                <w:sz w:val="20"/>
                <w:szCs w:val="24"/>
                <w:lang w:eastAsia="en-GB"/>
              </w:rPr>
            </w:pPr>
            <w:r w:rsidRPr="00E90A76">
              <w:rPr>
                <w:rFonts w:ascii="Arial" w:eastAsia="MS Mincho" w:hAnsi="Arial" w:cs="Arial"/>
                <w:sz w:val="20"/>
                <w:szCs w:val="24"/>
                <w:lang w:eastAsia="en-GB"/>
              </w:rPr>
              <w:t>The Location-based measurement event, in combination with the existing measurement event in NR, should be supported in NTN for both moving cell and fixed cell scenarios. FFS on how to configure the location based measurement event.</w:t>
            </w:r>
          </w:p>
        </w:tc>
      </w:tr>
    </w:tbl>
    <w:p w14:paraId="12AE27C8" w14:textId="77777777" w:rsidR="005631AA" w:rsidRDefault="005631AA" w:rsidP="003316B9">
      <w:pPr>
        <w:tabs>
          <w:tab w:val="left" w:pos="1622"/>
        </w:tabs>
        <w:spacing w:after="0"/>
        <w:jc w:val="both"/>
        <w:rPr>
          <w:rFonts w:ascii="Arial" w:eastAsia="MS Mincho" w:hAnsi="Arial" w:cs="Arial"/>
          <w:szCs w:val="24"/>
          <w:lang w:eastAsia="en-GB"/>
        </w:rPr>
      </w:pPr>
    </w:p>
    <w:p w14:paraId="0366491B" w14:textId="43812B66" w:rsidR="00972E3C" w:rsidRPr="00E120A3" w:rsidRDefault="00A7446C" w:rsidP="00A7446C">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Furthermore, in Rel. 17 NR-NTN Work Item (WI) [2] is </w:t>
      </w:r>
      <w:r w:rsidRPr="0008304A">
        <w:rPr>
          <w:rFonts w:ascii="Arial" w:eastAsia="MS Mincho" w:hAnsi="Arial" w:cs="Arial"/>
          <w:szCs w:val="24"/>
          <w:lang w:eastAsia="en-GB"/>
        </w:rPr>
        <w:t>aim</w:t>
      </w:r>
      <w:r>
        <w:rPr>
          <w:rFonts w:ascii="Arial" w:eastAsia="MS Mincho" w:hAnsi="Arial" w:cs="Arial"/>
          <w:szCs w:val="24"/>
          <w:lang w:eastAsia="en-GB"/>
        </w:rPr>
        <w:t>ed</w:t>
      </w:r>
      <w:r w:rsidRPr="0008304A">
        <w:rPr>
          <w:rFonts w:ascii="Arial" w:eastAsia="MS Mincho" w:hAnsi="Arial" w:cs="Arial"/>
          <w:szCs w:val="24"/>
          <w:lang w:eastAsia="en-GB"/>
        </w:rPr>
        <w:t xml:space="preserve"> </w:t>
      </w:r>
      <w:r>
        <w:rPr>
          <w:rFonts w:ascii="Arial" w:eastAsia="MS Mincho" w:hAnsi="Arial" w:cs="Arial"/>
          <w:szCs w:val="24"/>
          <w:lang w:eastAsia="en-GB"/>
        </w:rPr>
        <w:t>at</w:t>
      </w:r>
      <w:r w:rsidRPr="0008304A">
        <w:rPr>
          <w:rFonts w:ascii="Arial" w:eastAsia="MS Mincho" w:hAnsi="Arial" w:cs="Arial"/>
          <w:szCs w:val="24"/>
          <w:lang w:eastAsia="en-GB"/>
        </w:rPr>
        <w:t xml:space="preserve"> specify</w:t>
      </w:r>
      <w:r>
        <w:rPr>
          <w:rFonts w:ascii="Arial" w:eastAsia="MS Mincho" w:hAnsi="Arial" w:cs="Arial"/>
          <w:szCs w:val="24"/>
          <w:lang w:eastAsia="en-GB"/>
        </w:rPr>
        <w:t>ing</w:t>
      </w:r>
      <w:r w:rsidRPr="0008304A">
        <w:rPr>
          <w:rFonts w:ascii="Arial" w:eastAsia="MS Mincho" w:hAnsi="Arial" w:cs="Arial"/>
          <w:szCs w:val="24"/>
          <w:lang w:eastAsia="en-GB"/>
        </w:rPr>
        <w:t xml:space="preserve"> the enhancements identified for LEO and GEO</w:t>
      </w:r>
      <w:r>
        <w:rPr>
          <w:rFonts w:ascii="Arial" w:eastAsia="MS Mincho" w:hAnsi="Arial" w:cs="Arial"/>
          <w:szCs w:val="24"/>
          <w:lang w:eastAsia="en-GB"/>
        </w:rPr>
        <w:t xml:space="preserve">. Keeping this in mind, in this contribution we identify the </w:t>
      </w:r>
      <w:r w:rsidRPr="00D73C31">
        <w:rPr>
          <w:rFonts w:ascii="Arial" w:eastAsia="MS Mincho" w:hAnsi="Arial" w:cs="Arial"/>
          <w:szCs w:val="24"/>
          <w:lang w:eastAsia="en-GB"/>
        </w:rPr>
        <w:t xml:space="preserve">parts of TR38.821 </w:t>
      </w:r>
      <w:r>
        <w:rPr>
          <w:rFonts w:ascii="Arial" w:eastAsia="MS Mincho" w:hAnsi="Arial" w:cs="Arial"/>
          <w:szCs w:val="24"/>
          <w:lang w:eastAsia="en-GB"/>
        </w:rPr>
        <w:t>that relevant for HARQ configurations in</w:t>
      </w:r>
      <w:r w:rsidRPr="00D73C31">
        <w:rPr>
          <w:rFonts w:ascii="Arial" w:eastAsia="MS Mincho" w:hAnsi="Arial" w:cs="Arial"/>
          <w:szCs w:val="24"/>
          <w:lang w:eastAsia="en-GB"/>
        </w:rPr>
        <w:t xml:space="preserve"> </w:t>
      </w:r>
      <w:r>
        <w:rPr>
          <w:rFonts w:ascii="Arial" w:eastAsia="MS Mincho" w:hAnsi="Arial" w:cs="Arial"/>
          <w:szCs w:val="24"/>
          <w:lang w:eastAsia="en-GB"/>
        </w:rPr>
        <w:t xml:space="preserve">NB-IoT based </w:t>
      </w:r>
      <w:r w:rsidRPr="00D73C31">
        <w:rPr>
          <w:rFonts w:ascii="Arial" w:eastAsia="MS Mincho" w:hAnsi="Arial" w:cs="Arial"/>
          <w:szCs w:val="24"/>
          <w:lang w:eastAsia="en-GB"/>
        </w:rPr>
        <w:t>NTN</w:t>
      </w:r>
      <w:r>
        <w:rPr>
          <w:rFonts w:ascii="Arial" w:eastAsia="MS Mincho" w:hAnsi="Arial" w:cs="Arial"/>
          <w:szCs w:val="24"/>
          <w:lang w:eastAsia="en-GB"/>
        </w:rPr>
        <w:t xml:space="preserve">. </w:t>
      </w:r>
    </w:p>
    <w:p w14:paraId="7E0CCCD6" w14:textId="77777777" w:rsidR="002E6F37" w:rsidRPr="00A02DAF" w:rsidRDefault="002E6F37" w:rsidP="00E2227D">
      <w:pPr>
        <w:jc w:val="both"/>
        <w:rPr>
          <w:rFonts w:ascii="Arial" w:hAnsi="Arial" w:cs="Arial"/>
          <w:bCs/>
          <w:sz w:val="6"/>
        </w:rPr>
      </w:pPr>
    </w:p>
    <w:p w14:paraId="24808515" w14:textId="2E7B6BFE" w:rsidR="00E120A3" w:rsidRPr="008321E7" w:rsidRDefault="00E120A3" w:rsidP="00E120A3">
      <w:pPr>
        <w:pStyle w:val="Heading1"/>
        <w:rPr>
          <w:b/>
          <w:lang w:val="en-US" w:eastAsia="ko-KR"/>
        </w:rPr>
      </w:pPr>
      <w:r>
        <w:rPr>
          <w:b/>
          <w:lang w:val="en-US" w:eastAsia="ko-KR"/>
        </w:rPr>
        <w:t>2</w:t>
      </w:r>
      <w:r w:rsidRPr="008321E7">
        <w:rPr>
          <w:b/>
          <w:lang w:val="en-US" w:eastAsia="ko-KR"/>
        </w:rPr>
        <w:t xml:space="preserve"> </w:t>
      </w:r>
      <w:r>
        <w:rPr>
          <w:b/>
          <w:lang w:val="en-US" w:eastAsia="ko-KR"/>
        </w:rPr>
        <w:t>Discussio</w:t>
      </w:r>
      <w:r w:rsidRPr="008321E7">
        <w:rPr>
          <w:b/>
          <w:lang w:val="en-US" w:eastAsia="ko-KR"/>
        </w:rPr>
        <w:t>n</w:t>
      </w:r>
    </w:p>
    <w:p w14:paraId="3E7D89DB" w14:textId="7B9252E8" w:rsidR="00D80F58" w:rsidRPr="00D80F58" w:rsidRDefault="00D80F58" w:rsidP="00D80F58">
      <w:pPr>
        <w:jc w:val="both"/>
        <w:rPr>
          <w:rFonts w:ascii="Arial" w:hAnsi="Arial" w:cs="Arial"/>
        </w:rPr>
      </w:pPr>
      <w:r w:rsidRPr="00D80F58">
        <w:rPr>
          <w:rFonts w:ascii="Arial" w:hAnsi="Arial" w:cs="Arial"/>
        </w:rPr>
        <w:t xml:space="preserve">In the existing </w:t>
      </w:r>
      <w:r>
        <w:rPr>
          <w:rFonts w:ascii="Arial" w:hAnsi="Arial" w:cs="Arial"/>
        </w:rPr>
        <w:t>eMTC handover procedure, source e</w:t>
      </w:r>
      <w:r w:rsidRPr="00D80F58">
        <w:rPr>
          <w:rFonts w:ascii="Arial" w:hAnsi="Arial" w:cs="Arial"/>
        </w:rPr>
        <w:t xml:space="preserve">NB relies on UE’s measurement report to trigger handover preparation. Based on measurement events (e.g. A3 or A5), source </w:t>
      </w:r>
      <w:r>
        <w:rPr>
          <w:rFonts w:ascii="Arial" w:hAnsi="Arial" w:cs="Arial"/>
        </w:rPr>
        <w:t>e</w:t>
      </w:r>
      <w:r w:rsidRPr="00D80F58">
        <w:rPr>
          <w:rFonts w:ascii="Arial" w:hAnsi="Arial" w:cs="Arial"/>
        </w:rPr>
        <w:t>NB ca</w:t>
      </w:r>
      <w:r>
        <w:rPr>
          <w:rFonts w:ascii="Arial" w:hAnsi="Arial" w:cs="Arial"/>
        </w:rPr>
        <w:t>n identify good-quality neighbou</w:t>
      </w:r>
      <w:r w:rsidRPr="00D80F58">
        <w:rPr>
          <w:rFonts w:ascii="Arial" w:hAnsi="Arial" w:cs="Arial"/>
        </w:rPr>
        <w:t xml:space="preserve">r cells for potential handover target. This works well in the TN case where RSRP measurements can show the difference of UE’s locations between cell centre and cell edge. However, as discussed in the SI phase, the near-far effect cannot be visually reflected in the difference of RSRP measurements in the NTN case, due to smaller difference in the path loss between cell centre and edge. In this case, measurement event-based triggering may cause </w:t>
      </w:r>
      <w:r>
        <w:rPr>
          <w:rFonts w:ascii="Arial" w:hAnsi="Arial" w:cs="Arial"/>
        </w:rPr>
        <w:t>problems in</w:t>
      </w:r>
      <w:r w:rsidRPr="00D80F58">
        <w:rPr>
          <w:rFonts w:ascii="Arial" w:hAnsi="Arial" w:cs="Arial"/>
        </w:rPr>
        <w:t xml:space="preserve"> handover. </w:t>
      </w:r>
    </w:p>
    <w:p w14:paraId="4AF790D4" w14:textId="378A901D" w:rsidR="001E1A51" w:rsidRDefault="00D80F58" w:rsidP="00D80F58">
      <w:pPr>
        <w:jc w:val="both"/>
        <w:rPr>
          <w:rFonts w:ascii="Arial" w:hAnsi="Arial" w:cs="Arial"/>
        </w:rPr>
      </w:pPr>
      <w:r w:rsidRPr="00D80F58">
        <w:rPr>
          <w:rFonts w:ascii="Arial" w:hAnsi="Arial" w:cs="Arial"/>
        </w:rPr>
        <w:t>To handle this issue, UE location</w:t>
      </w:r>
      <w:r w:rsidR="00A73578">
        <w:rPr>
          <w:rFonts w:ascii="Arial" w:hAnsi="Arial" w:cs="Arial"/>
        </w:rPr>
        <w:t xml:space="preserve"> and/or time</w:t>
      </w:r>
      <w:r w:rsidRPr="00D80F58">
        <w:rPr>
          <w:rFonts w:ascii="Arial" w:hAnsi="Arial" w:cs="Arial"/>
        </w:rPr>
        <w:t xml:space="preserve"> information </w:t>
      </w:r>
      <w:r w:rsidR="00A73578">
        <w:rPr>
          <w:rFonts w:ascii="Arial" w:hAnsi="Arial" w:cs="Arial"/>
        </w:rPr>
        <w:t>is</w:t>
      </w:r>
      <w:r w:rsidRPr="00D80F58">
        <w:rPr>
          <w:rFonts w:ascii="Arial" w:hAnsi="Arial" w:cs="Arial"/>
        </w:rPr>
        <w:t xml:space="preserve"> considered as a complementary metric to the existing RSRP measurements. The idea is to use UE location information to compare UE’s location in the serving cell with location in the neighbour cell, and to aid the source cell to make proper handover decision. The observed longer distance with the serving satellite and the shorter distance with the neighbour satellite may imply that UE is moving towards the neighbour satellite’s coverage. This can be used to trigger handover via a new report. </w:t>
      </w:r>
      <w:r w:rsidR="00DA3DBB">
        <w:rPr>
          <w:rFonts w:ascii="Arial" w:hAnsi="Arial" w:cs="Arial"/>
        </w:rPr>
        <w:t>Similarly, it is also discussed in NR-NTN Work Item that t</w:t>
      </w:r>
      <w:r w:rsidR="00DA3DBB" w:rsidRPr="00DA3DBB">
        <w:rPr>
          <w:rFonts w:ascii="Arial" w:hAnsi="Arial" w:cs="Arial"/>
        </w:rPr>
        <w:t>he UE speed is low compared to the satellite</w:t>
      </w:r>
      <w:r w:rsidR="00DA3DBB">
        <w:rPr>
          <w:rFonts w:ascii="Arial" w:hAnsi="Arial" w:cs="Arial"/>
        </w:rPr>
        <w:t>’s</w:t>
      </w:r>
      <w:r w:rsidR="00DA3DBB" w:rsidRPr="00DA3DBB">
        <w:rPr>
          <w:rFonts w:ascii="Arial" w:hAnsi="Arial" w:cs="Arial"/>
        </w:rPr>
        <w:t xml:space="preserve"> movement.</w:t>
      </w:r>
      <w:r w:rsidR="00DA3DBB">
        <w:rPr>
          <w:rFonts w:ascii="Arial" w:hAnsi="Arial" w:cs="Arial"/>
        </w:rPr>
        <w:t xml:space="preserve"> As</w:t>
      </w:r>
      <w:r w:rsidR="00DA3DBB" w:rsidRPr="00DA3DBB">
        <w:rPr>
          <w:rFonts w:ascii="Arial" w:hAnsi="Arial" w:cs="Arial"/>
        </w:rPr>
        <w:t xml:space="preserve"> the overlapped coverage of the a</w:t>
      </w:r>
      <w:r w:rsidR="00DA3DBB">
        <w:rPr>
          <w:rFonts w:ascii="Arial" w:hAnsi="Arial" w:cs="Arial"/>
        </w:rPr>
        <w:t>djacent satellite is could be big enough, s</w:t>
      </w:r>
      <w:r w:rsidR="00DA3DBB" w:rsidRPr="00DA3DBB">
        <w:rPr>
          <w:rFonts w:ascii="Arial" w:hAnsi="Arial" w:cs="Arial"/>
        </w:rPr>
        <w:t xml:space="preserve">atellite (gNB) can calculate the time(r) if UE reports some assistant information e.g. location or direction. </w:t>
      </w:r>
      <w:r w:rsidR="00DA3DBB">
        <w:rPr>
          <w:rFonts w:ascii="Arial" w:hAnsi="Arial" w:cs="Arial"/>
        </w:rPr>
        <w:t>Hence</w:t>
      </w:r>
      <w:r w:rsidR="00DA3DBB" w:rsidRPr="00DA3DBB">
        <w:rPr>
          <w:rFonts w:ascii="Arial" w:hAnsi="Arial" w:cs="Arial"/>
        </w:rPr>
        <w:t>,</w:t>
      </w:r>
      <w:r w:rsidR="00DA3DBB">
        <w:rPr>
          <w:rFonts w:ascii="Arial" w:hAnsi="Arial" w:cs="Arial"/>
        </w:rPr>
        <w:t xml:space="preserve"> the</w:t>
      </w:r>
      <w:r w:rsidR="00DA3DBB" w:rsidRPr="00DA3DBB">
        <w:rPr>
          <w:rFonts w:ascii="Arial" w:hAnsi="Arial" w:cs="Arial"/>
        </w:rPr>
        <w:t xml:space="preserve"> time(r)</w:t>
      </w:r>
      <w:r w:rsidR="00DA3DBB">
        <w:rPr>
          <w:rFonts w:ascii="Arial" w:hAnsi="Arial" w:cs="Arial"/>
        </w:rPr>
        <w:t xml:space="preserve"> based </w:t>
      </w:r>
      <w:r w:rsidR="00DA3DBB" w:rsidRPr="00DA3DBB">
        <w:rPr>
          <w:rFonts w:ascii="Arial" w:hAnsi="Arial" w:cs="Arial"/>
        </w:rPr>
        <w:t>CHO</w:t>
      </w:r>
      <w:r w:rsidR="00DA3DBB">
        <w:rPr>
          <w:rFonts w:ascii="Arial" w:hAnsi="Arial" w:cs="Arial"/>
        </w:rPr>
        <w:t xml:space="preserve"> can be configured and used. Based on these discussions and agreements</w:t>
      </w:r>
      <w:r w:rsidRPr="00D80F58">
        <w:rPr>
          <w:rFonts w:ascii="Arial" w:hAnsi="Arial" w:cs="Arial"/>
        </w:rPr>
        <w:t xml:space="preserve">, </w:t>
      </w:r>
      <w:r>
        <w:rPr>
          <w:rFonts w:ascii="Arial" w:hAnsi="Arial" w:cs="Arial"/>
        </w:rPr>
        <w:t>RAN 2 has recently agreed [2]</w:t>
      </w:r>
      <w:r w:rsidRPr="00D80F58">
        <w:rPr>
          <w:rFonts w:ascii="Arial" w:hAnsi="Arial" w:cs="Arial"/>
        </w:rPr>
        <w:t xml:space="preserve"> </w:t>
      </w:r>
      <w:r>
        <w:rPr>
          <w:rFonts w:ascii="Arial" w:hAnsi="Arial" w:cs="Arial"/>
        </w:rPr>
        <w:t xml:space="preserve">to </w:t>
      </w:r>
      <w:r w:rsidRPr="00D80F58">
        <w:rPr>
          <w:rFonts w:ascii="Arial" w:hAnsi="Arial" w:cs="Arial"/>
        </w:rPr>
        <w:t xml:space="preserve">introduce </w:t>
      </w:r>
      <w:r>
        <w:rPr>
          <w:rFonts w:ascii="Arial" w:hAnsi="Arial" w:cs="Arial"/>
        </w:rPr>
        <w:t>location and time based events in association with existing measurement based events for improving CHO in NR-NTN</w:t>
      </w:r>
      <w:r w:rsidRPr="00D80F58">
        <w:rPr>
          <w:rFonts w:ascii="Arial" w:hAnsi="Arial" w:cs="Arial"/>
        </w:rPr>
        <w:t>.</w:t>
      </w:r>
      <w:r>
        <w:rPr>
          <w:rFonts w:ascii="Arial" w:hAnsi="Arial" w:cs="Arial"/>
        </w:rPr>
        <w:t xml:space="preserve"> </w:t>
      </w:r>
    </w:p>
    <w:p w14:paraId="59C77AF4" w14:textId="5179A00B" w:rsidR="00DA3DBB" w:rsidRDefault="00DA3DBB" w:rsidP="00D80F58">
      <w:pPr>
        <w:jc w:val="both"/>
        <w:rPr>
          <w:rFonts w:ascii="Arial" w:hAnsi="Arial" w:cs="Arial"/>
        </w:rPr>
      </w:pPr>
      <w:r>
        <w:rPr>
          <w:rFonts w:ascii="Arial" w:hAnsi="Arial" w:cs="Arial"/>
        </w:rPr>
        <w:lastRenderedPageBreak/>
        <w:t>As the connected mode mobility in eMTC based IoT-NTN could be similar to mobility aspects in NR-NTN, we believe the NR-NTN agreements in connected mode mobility could be reused in eMTC based IoT-NTN.</w:t>
      </w:r>
    </w:p>
    <w:p w14:paraId="54C4DB59" w14:textId="77777777" w:rsidR="00DA3DBB" w:rsidRPr="00DE4A08" w:rsidRDefault="00DA3DBB" w:rsidP="00D80F58">
      <w:pPr>
        <w:jc w:val="both"/>
        <w:rPr>
          <w:rFonts w:ascii="Arial" w:hAnsi="Arial" w:cs="Arial"/>
          <w:b/>
          <w:bCs/>
          <w:sz w:val="2"/>
        </w:rPr>
      </w:pPr>
    </w:p>
    <w:p w14:paraId="167BE844" w14:textId="5DEBB841" w:rsidR="001E1A51" w:rsidRDefault="001E1A51" w:rsidP="00E2227D">
      <w:pPr>
        <w:jc w:val="both"/>
        <w:rPr>
          <w:rFonts w:ascii="Arial" w:hAnsi="Arial" w:cs="Arial"/>
          <w:b/>
        </w:rPr>
      </w:pPr>
      <w:r w:rsidRPr="00DE4A08">
        <w:rPr>
          <w:rFonts w:ascii="Arial" w:hAnsi="Arial" w:cs="Arial"/>
          <w:b/>
          <w:bCs/>
        </w:rPr>
        <w:t xml:space="preserve">Proposal: </w:t>
      </w:r>
      <w:r w:rsidR="00975C73">
        <w:rPr>
          <w:rFonts w:ascii="Arial" w:hAnsi="Arial" w:cs="Arial"/>
          <w:b/>
        </w:rPr>
        <w:t xml:space="preserve">eMTC based NTN will </w:t>
      </w:r>
      <w:r w:rsidR="00EB50BE">
        <w:rPr>
          <w:rFonts w:ascii="Arial" w:hAnsi="Arial" w:cs="Arial"/>
          <w:b/>
        </w:rPr>
        <w:t xml:space="preserve">use the connected mode </w:t>
      </w:r>
      <w:r w:rsidR="00856027">
        <w:rPr>
          <w:rFonts w:ascii="Arial" w:hAnsi="Arial" w:cs="Arial"/>
          <w:b/>
        </w:rPr>
        <w:t xml:space="preserve">mobility </w:t>
      </w:r>
      <w:r w:rsidR="00EB50BE">
        <w:rPr>
          <w:rFonts w:ascii="Arial" w:hAnsi="Arial" w:cs="Arial"/>
          <w:b/>
        </w:rPr>
        <w:t>agreements made in NR-NTN</w:t>
      </w:r>
      <w:r w:rsidRPr="00DE4A08">
        <w:rPr>
          <w:rFonts w:ascii="Arial" w:hAnsi="Arial" w:cs="Arial"/>
          <w:b/>
        </w:rPr>
        <w:t>.</w:t>
      </w:r>
    </w:p>
    <w:p w14:paraId="03D47DAC" w14:textId="710D8DA2" w:rsidR="00EB50BE" w:rsidRPr="00856027" w:rsidRDefault="00EB50BE" w:rsidP="00EB50BE">
      <w:pPr>
        <w:pStyle w:val="ListParagraph"/>
        <w:numPr>
          <w:ilvl w:val="0"/>
          <w:numId w:val="25"/>
        </w:numPr>
        <w:jc w:val="both"/>
        <w:rPr>
          <w:rFonts w:ascii="Arial" w:hAnsi="Arial" w:cs="Arial"/>
          <w:b/>
          <w:bCs/>
          <w:sz w:val="20"/>
          <w:szCs w:val="21"/>
          <w:lang w:val="en-US"/>
        </w:rPr>
      </w:pPr>
      <w:r w:rsidRPr="00856027">
        <w:rPr>
          <w:rFonts w:ascii="Arial" w:hAnsi="Arial" w:cs="Arial"/>
          <w:b/>
          <w:bCs/>
          <w:sz w:val="20"/>
          <w:szCs w:val="21"/>
          <w:lang w:val="en-US"/>
        </w:rPr>
        <w:t xml:space="preserve">CHO can be used in NTN for both moving cell and fixed cell scenarios, and the CHO procedure and execution condition defined in Rel-16 is the baseline for NTN CHO. </w:t>
      </w:r>
    </w:p>
    <w:p w14:paraId="52783879" w14:textId="0297FABD" w:rsidR="00EB50BE" w:rsidRPr="00856027" w:rsidRDefault="00EB50BE" w:rsidP="00EB50BE">
      <w:pPr>
        <w:pStyle w:val="ListParagraph"/>
        <w:numPr>
          <w:ilvl w:val="0"/>
          <w:numId w:val="25"/>
        </w:numPr>
        <w:jc w:val="both"/>
        <w:rPr>
          <w:rFonts w:ascii="Arial" w:hAnsi="Arial" w:cs="Arial"/>
          <w:b/>
          <w:bCs/>
          <w:sz w:val="20"/>
          <w:szCs w:val="21"/>
          <w:lang w:val="en-US"/>
        </w:rPr>
      </w:pPr>
      <w:r w:rsidRPr="00856027">
        <w:rPr>
          <w:rFonts w:ascii="Arial" w:hAnsi="Arial" w:cs="Arial"/>
          <w:b/>
          <w:bCs/>
          <w:sz w:val="20"/>
          <w:szCs w:val="21"/>
          <w:lang w:val="en-US"/>
        </w:rPr>
        <w:t xml:space="preserve">The existing measurement framework (e.g. measurement configuration, execution and reporting) is the baseline, and all the existing measurement criteria and event can be used in NTN. </w:t>
      </w:r>
    </w:p>
    <w:p w14:paraId="4AB42ED1" w14:textId="07602920" w:rsidR="00EB50BE" w:rsidRPr="00856027" w:rsidRDefault="00EB50BE" w:rsidP="00EB50BE">
      <w:pPr>
        <w:pStyle w:val="ListParagraph"/>
        <w:numPr>
          <w:ilvl w:val="0"/>
          <w:numId w:val="25"/>
        </w:numPr>
        <w:jc w:val="both"/>
        <w:rPr>
          <w:rFonts w:ascii="Arial" w:hAnsi="Arial" w:cs="Arial"/>
          <w:b/>
          <w:bCs/>
          <w:sz w:val="20"/>
          <w:szCs w:val="21"/>
          <w:lang w:val="en-US"/>
        </w:rPr>
      </w:pPr>
      <w:r w:rsidRPr="00856027">
        <w:rPr>
          <w:rFonts w:ascii="Arial" w:hAnsi="Arial" w:cs="Arial"/>
          <w:b/>
          <w:bCs/>
          <w:sz w:val="20"/>
          <w:szCs w:val="21"/>
          <w:lang w:val="en-US"/>
        </w:rPr>
        <w:t>Time or timer based and Location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5C9628DA" w14:textId="77777777" w:rsidR="00E025D7" w:rsidRPr="00AA6B57" w:rsidRDefault="00E025D7" w:rsidP="000E3091">
      <w:pPr>
        <w:jc w:val="both"/>
        <w:rPr>
          <w:rFonts w:ascii="Arial" w:hAnsi="Arial" w:cs="Arial"/>
          <w:bCs/>
          <w:sz w:val="4"/>
        </w:rPr>
      </w:pP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6043C30A" w14:textId="71218E91" w:rsidR="00C20978" w:rsidRDefault="00C20978" w:rsidP="00C20978">
      <w:pPr>
        <w:jc w:val="both"/>
        <w:rPr>
          <w:rFonts w:ascii="Arial" w:hAnsi="Arial" w:cs="Arial"/>
          <w:lang w:val="en-US" w:eastAsia="ko-KR"/>
        </w:rPr>
      </w:pPr>
      <w:r w:rsidRPr="00A62DF6">
        <w:rPr>
          <w:rFonts w:ascii="Arial" w:hAnsi="Arial" w:cs="Arial"/>
          <w:lang w:val="en-US" w:eastAsia="ko-KR"/>
        </w:rPr>
        <w:t xml:space="preserve">In this contribution, </w:t>
      </w:r>
      <w:r w:rsidR="00FE54C3" w:rsidRPr="00FE54C3">
        <w:rPr>
          <w:rFonts w:ascii="Arial" w:hAnsi="Arial" w:cs="Arial"/>
          <w:lang w:val="en-US" w:eastAsia="ko-KR"/>
        </w:rPr>
        <w:t xml:space="preserve">we identify the </w:t>
      </w:r>
      <w:r w:rsidR="00084E98">
        <w:rPr>
          <w:rFonts w:ascii="Arial" w:hAnsi="Arial" w:cs="Arial"/>
          <w:lang w:val="en-US" w:eastAsia="ko-KR"/>
        </w:rPr>
        <w:t>recent agreements on connected mode mobility made in RAN2 112-e and identified the necessity of reusing those agreements for connected mode mobility in eMTC based IoT-NTN.</w:t>
      </w:r>
    </w:p>
    <w:p w14:paraId="2F6731DC" w14:textId="77777777" w:rsidR="00084E98" w:rsidRDefault="00084E98" w:rsidP="00DA3DBB">
      <w:pPr>
        <w:jc w:val="both"/>
        <w:rPr>
          <w:rFonts w:ascii="Arial" w:hAnsi="Arial" w:cs="Arial"/>
          <w:b/>
          <w:bCs/>
        </w:rPr>
      </w:pPr>
    </w:p>
    <w:p w14:paraId="7A0537C3" w14:textId="77777777" w:rsidR="00DA3DBB" w:rsidRDefault="00DA3DBB" w:rsidP="00DA3DBB">
      <w:pPr>
        <w:jc w:val="both"/>
        <w:rPr>
          <w:rFonts w:ascii="Arial" w:hAnsi="Arial" w:cs="Arial"/>
          <w:b/>
        </w:rPr>
      </w:pPr>
      <w:bookmarkStart w:id="2" w:name="_GoBack"/>
      <w:bookmarkEnd w:id="2"/>
      <w:r w:rsidRPr="00DE4A08">
        <w:rPr>
          <w:rFonts w:ascii="Arial" w:hAnsi="Arial" w:cs="Arial"/>
          <w:b/>
          <w:bCs/>
        </w:rPr>
        <w:t xml:space="preserve">Proposal: </w:t>
      </w:r>
      <w:r>
        <w:rPr>
          <w:rFonts w:ascii="Arial" w:hAnsi="Arial" w:cs="Arial"/>
          <w:b/>
        </w:rPr>
        <w:t>eMTC based NTN will use the connected mode mobility agreements made in NR-NTN</w:t>
      </w:r>
      <w:r w:rsidRPr="00DE4A08">
        <w:rPr>
          <w:rFonts w:ascii="Arial" w:hAnsi="Arial" w:cs="Arial"/>
          <w:b/>
        </w:rPr>
        <w:t>.</w:t>
      </w:r>
    </w:p>
    <w:p w14:paraId="35393252" w14:textId="77777777" w:rsidR="00DA3DBB" w:rsidRPr="00856027" w:rsidRDefault="00DA3DBB" w:rsidP="00DA3DBB">
      <w:pPr>
        <w:pStyle w:val="ListParagraph"/>
        <w:numPr>
          <w:ilvl w:val="0"/>
          <w:numId w:val="25"/>
        </w:numPr>
        <w:jc w:val="both"/>
        <w:rPr>
          <w:rFonts w:ascii="Arial" w:hAnsi="Arial" w:cs="Arial"/>
          <w:b/>
          <w:bCs/>
          <w:sz w:val="20"/>
          <w:szCs w:val="21"/>
          <w:lang w:val="en-US"/>
        </w:rPr>
      </w:pPr>
      <w:r w:rsidRPr="00856027">
        <w:rPr>
          <w:rFonts w:ascii="Arial" w:hAnsi="Arial" w:cs="Arial"/>
          <w:b/>
          <w:bCs/>
          <w:sz w:val="20"/>
          <w:szCs w:val="21"/>
          <w:lang w:val="en-US"/>
        </w:rPr>
        <w:t xml:space="preserve">CHO can be used in NTN for both moving cell and fixed cell scenarios, and the CHO procedure and execution condition defined in Rel-16 is the baseline for NTN CHO. </w:t>
      </w:r>
    </w:p>
    <w:p w14:paraId="6E4C4A2E" w14:textId="77777777" w:rsidR="00DA3DBB" w:rsidRPr="00856027" w:rsidRDefault="00DA3DBB" w:rsidP="00DA3DBB">
      <w:pPr>
        <w:pStyle w:val="ListParagraph"/>
        <w:numPr>
          <w:ilvl w:val="0"/>
          <w:numId w:val="25"/>
        </w:numPr>
        <w:jc w:val="both"/>
        <w:rPr>
          <w:rFonts w:ascii="Arial" w:hAnsi="Arial" w:cs="Arial"/>
          <w:b/>
          <w:bCs/>
          <w:sz w:val="20"/>
          <w:szCs w:val="21"/>
          <w:lang w:val="en-US"/>
        </w:rPr>
      </w:pPr>
      <w:r w:rsidRPr="00856027">
        <w:rPr>
          <w:rFonts w:ascii="Arial" w:hAnsi="Arial" w:cs="Arial"/>
          <w:b/>
          <w:bCs/>
          <w:sz w:val="20"/>
          <w:szCs w:val="21"/>
          <w:lang w:val="en-US"/>
        </w:rPr>
        <w:t xml:space="preserve">The existing measurement framework (e.g. measurement configuration, execution and reporting) is the baseline, and all the existing measurement criteria and event can be used in NTN. </w:t>
      </w:r>
    </w:p>
    <w:p w14:paraId="7FC6B11B" w14:textId="77777777" w:rsidR="00DA3DBB" w:rsidRPr="00856027" w:rsidRDefault="00DA3DBB" w:rsidP="00DA3DBB">
      <w:pPr>
        <w:pStyle w:val="ListParagraph"/>
        <w:numPr>
          <w:ilvl w:val="0"/>
          <w:numId w:val="25"/>
        </w:numPr>
        <w:jc w:val="both"/>
        <w:rPr>
          <w:rFonts w:ascii="Arial" w:hAnsi="Arial" w:cs="Arial"/>
          <w:b/>
          <w:bCs/>
          <w:sz w:val="20"/>
          <w:szCs w:val="21"/>
          <w:lang w:val="en-US"/>
        </w:rPr>
      </w:pPr>
      <w:r w:rsidRPr="00856027">
        <w:rPr>
          <w:rFonts w:ascii="Arial" w:hAnsi="Arial" w:cs="Arial"/>
          <w:b/>
          <w:bCs/>
          <w:sz w:val="20"/>
          <w:szCs w:val="21"/>
          <w:lang w:val="en-US"/>
        </w:rPr>
        <w:t>Time or timer based and Location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1D4CF616" w14:textId="4B97A309" w:rsidR="001E1A51" w:rsidRPr="00DA3DBB" w:rsidRDefault="001E1A51" w:rsidP="00DA3DBB">
      <w:pPr>
        <w:jc w:val="both"/>
        <w:rPr>
          <w:rFonts w:ascii="Arial" w:hAnsi="Arial" w:cs="Arial"/>
          <w:b/>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1894BFE9" w14:textId="77777777" w:rsidR="003063D3" w:rsidRPr="00D30920" w:rsidRDefault="003063D3" w:rsidP="003063D3">
      <w:pPr>
        <w:pStyle w:val="ListParagraph"/>
        <w:numPr>
          <w:ilvl w:val="0"/>
          <w:numId w:val="2"/>
        </w:numPr>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3GPP TR 38.821</w:t>
      </w:r>
      <w:r>
        <w:rPr>
          <w:rFonts w:ascii="Arial" w:hAnsi="Arial" w:cs="Arial"/>
          <w:sz w:val="20"/>
          <w:szCs w:val="20"/>
          <w:lang w:eastAsia="ko-KR"/>
        </w:rPr>
        <w:t>-g00</w:t>
      </w:r>
      <w:r w:rsidRPr="00D30920">
        <w:rPr>
          <w:rFonts w:ascii="Arial" w:hAnsi="Arial" w:cs="Arial"/>
          <w:sz w:val="20"/>
          <w:szCs w:val="20"/>
          <w:lang w:eastAsia="ko-KR"/>
        </w:rPr>
        <w:t xml:space="preserve">,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2CB2C785" w14:textId="5DCCD8DE" w:rsidR="003063D3" w:rsidRDefault="003063D3" w:rsidP="003063D3">
      <w:pPr>
        <w:pStyle w:val="ListParagraph"/>
        <w:numPr>
          <w:ilvl w:val="0"/>
          <w:numId w:val="2"/>
        </w:numPr>
        <w:rPr>
          <w:rFonts w:ascii="Arial" w:hAnsi="Arial" w:cs="Arial"/>
          <w:sz w:val="20"/>
          <w:szCs w:val="20"/>
          <w:lang w:eastAsia="ko-KR"/>
        </w:rPr>
      </w:pPr>
      <w:bookmarkStart w:id="5" w:name="_Ref7103214"/>
      <w:r w:rsidRPr="00387CF2">
        <w:rPr>
          <w:rFonts w:ascii="Arial" w:hAnsi="Arial" w:cs="Arial"/>
          <w:sz w:val="20"/>
          <w:szCs w:val="20"/>
          <w:lang w:eastAsia="ko-KR"/>
        </w:rPr>
        <w:t>3GPP TSG-RAN WG2 Meeting #11</w:t>
      </w:r>
      <w:r w:rsidR="005876FA">
        <w:rPr>
          <w:rFonts w:ascii="Arial" w:hAnsi="Arial" w:cs="Arial"/>
          <w:sz w:val="20"/>
          <w:szCs w:val="20"/>
          <w:lang w:eastAsia="ko-KR"/>
        </w:rPr>
        <w:t>2</w:t>
      </w:r>
      <w:r>
        <w:rPr>
          <w:rFonts w:ascii="Arial" w:hAnsi="Arial" w:cs="Arial"/>
          <w:sz w:val="20"/>
          <w:szCs w:val="20"/>
          <w:lang w:eastAsia="ko-KR"/>
        </w:rPr>
        <w:t>e,</w:t>
      </w:r>
      <w:r w:rsidRPr="00387CF2">
        <w:rPr>
          <w:rFonts w:ascii="Arial" w:hAnsi="Arial" w:cs="Arial"/>
          <w:sz w:val="20"/>
          <w:szCs w:val="20"/>
          <w:lang w:eastAsia="ko-KR"/>
        </w:rPr>
        <w:t xml:space="preserve"> </w:t>
      </w:r>
      <w:r>
        <w:rPr>
          <w:rFonts w:ascii="Arial" w:hAnsi="Arial" w:cs="Arial"/>
          <w:sz w:val="20"/>
          <w:szCs w:val="20"/>
          <w:lang w:eastAsia="ko-KR"/>
        </w:rPr>
        <w:t>“</w:t>
      </w:r>
      <w:r w:rsidRPr="00387CF2">
        <w:rPr>
          <w:rFonts w:ascii="Arial" w:hAnsi="Arial" w:cs="Arial"/>
          <w:sz w:val="20"/>
          <w:szCs w:val="20"/>
          <w:lang w:eastAsia="ko-KR"/>
        </w:rPr>
        <w:t>Report from Break-out session on R16 eMIMO, CLI, PRN, RACS and R17 NTN and REDCAP</w:t>
      </w:r>
      <w:r>
        <w:rPr>
          <w:rFonts w:ascii="Arial" w:hAnsi="Arial" w:cs="Arial"/>
          <w:sz w:val="20"/>
          <w:szCs w:val="20"/>
          <w:lang w:eastAsia="ko-KR"/>
        </w:rPr>
        <w:t xml:space="preserve">”, </w:t>
      </w:r>
      <w:r w:rsidRPr="00387CF2">
        <w:rPr>
          <w:rFonts w:ascii="Arial" w:hAnsi="Arial" w:cs="Arial"/>
          <w:sz w:val="20"/>
          <w:szCs w:val="20"/>
          <w:lang w:eastAsia="ko-KR"/>
        </w:rPr>
        <w:t>Vice Chairman (ZTE Corporation)</w:t>
      </w:r>
      <w:r>
        <w:rPr>
          <w:rFonts w:ascii="Arial" w:hAnsi="Arial" w:cs="Arial"/>
          <w:sz w:val="20"/>
          <w:szCs w:val="20"/>
          <w:lang w:eastAsia="ko-KR"/>
        </w:rPr>
        <w:t>.</w:t>
      </w:r>
    </w:p>
    <w:bookmarkEnd w:id="4"/>
    <w:bookmarkEnd w:id="5"/>
    <w:p w14:paraId="4DF15999" w14:textId="77777777" w:rsidR="00D93B34" w:rsidRPr="00D93B34" w:rsidRDefault="00D93B34" w:rsidP="00D93B34"/>
    <w:p w14:paraId="2F1BC7F4" w14:textId="77777777" w:rsidR="00CF3106" w:rsidRPr="00CF3106" w:rsidRDefault="00CF3106" w:rsidP="00CF3106">
      <w:pPr>
        <w:rPr>
          <w:lang w:val="en-US" w:eastAsia="ko-KR"/>
        </w:rPr>
      </w:pPr>
    </w:p>
    <w:sectPr w:rsidR="00CF3106" w:rsidRPr="00CF3106" w:rsidSect="00833CEA">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07E87" w14:textId="77777777" w:rsidR="00954C5C" w:rsidRDefault="00954C5C">
      <w:r>
        <w:separator/>
      </w:r>
    </w:p>
  </w:endnote>
  <w:endnote w:type="continuationSeparator" w:id="0">
    <w:p w14:paraId="7610FBC0" w14:textId="77777777" w:rsidR="00954C5C" w:rsidRDefault="0095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A58DB" w14:textId="77777777" w:rsidR="00954C5C" w:rsidRDefault="00954C5C">
      <w:r>
        <w:separator/>
      </w:r>
    </w:p>
  </w:footnote>
  <w:footnote w:type="continuationSeparator" w:id="0">
    <w:p w14:paraId="01E9A385" w14:textId="77777777" w:rsidR="00954C5C" w:rsidRDefault="00954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5C31E3"/>
    <w:multiLevelType w:val="hybridMultilevel"/>
    <w:tmpl w:val="FFB4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427FD"/>
    <w:multiLevelType w:val="hybridMultilevel"/>
    <w:tmpl w:val="7D3A9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666EA"/>
    <w:multiLevelType w:val="hybridMultilevel"/>
    <w:tmpl w:val="FB72D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1A1A194B"/>
    <w:multiLevelType w:val="hybridMultilevel"/>
    <w:tmpl w:val="0BE8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73650C"/>
    <w:multiLevelType w:val="hybridMultilevel"/>
    <w:tmpl w:val="86AE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3">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6">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DE80ECA"/>
    <w:multiLevelType w:val="hybridMultilevel"/>
    <w:tmpl w:val="FC1C5D2C"/>
    <w:lvl w:ilvl="0" w:tplc="D73C9094">
      <w:start w:val="1"/>
      <w:numFmt w:val="bullet"/>
      <w:lvlText w:val="–"/>
      <w:lvlJc w:val="left"/>
      <w:pPr>
        <w:tabs>
          <w:tab w:val="num" w:pos="720"/>
        </w:tabs>
        <w:ind w:left="720" w:hanging="360"/>
      </w:pPr>
      <w:rPr>
        <w:rFonts w:ascii="Calibri Light" w:hAnsi="Calibri Light" w:hint="default"/>
      </w:rPr>
    </w:lvl>
    <w:lvl w:ilvl="1" w:tplc="26003BFA">
      <w:start w:val="1"/>
      <w:numFmt w:val="bullet"/>
      <w:lvlText w:val="–"/>
      <w:lvlJc w:val="left"/>
      <w:pPr>
        <w:tabs>
          <w:tab w:val="num" w:pos="1440"/>
        </w:tabs>
        <w:ind w:left="1440" w:hanging="360"/>
      </w:pPr>
      <w:rPr>
        <w:rFonts w:ascii="Calibri Light" w:hAnsi="Calibri Light" w:hint="default"/>
      </w:rPr>
    </w:lvl>
    <w:lvl w:ilvl="2" w:tplc="3232FE58" w:tentative="1">
      <w:start w:val="1"/>
      <w:numFmt w:val="bullet"/>
      <w:lvlText w:val="–"/>
      <w:lvlJc w:val="left"/>
      <w:pPr>
        <w:tabs>
          <w:tab w:val="num" w:pos="2160"/>
        </w:tabs>
        <w:ind w:left="2160" w:hanging="360"/>
      </w:pPr>
      <w:rPr>
        <w:rFonts w:ascii="Calibri Light" w:hAnsi="Calibri Light" w:hint="default"/>
      </w:rPr>
    </w:lvl>
    <w:lvl w:ilvl="3" w:tplc="385802C6" w:tentative="1">
      <w:start w:val="1"/>
      <w:numFmt w:val="bullet"/>
      <w:lvlText w:val="–"/>
      <w:lvlJc w:val="left"/>
      <w:pPr>
        <w:tabs>
          <w:tab w:val="num" w:pos="2880"/>
        </w:tabs>
        <w:ind w:left="2880" w:hanging="360"/>
      </w:pPr>
      <w:rPr>
        <w:rFonts w:ascii="Calibri Light" w:hAnsi="Calibri Light" w:hint="default"/>
      </w:rPr>
    </w:lvl>
    <w:lvl w:ilvl="4" w:tplc="B4B41274" w:tentative="1">
      <w:start w:val="1"/>
      <w:numFmt w:val="bullet"/>
      <w:lvlText w:val="–"/>
      <w:lvlJc w:val="left"/>
      <w:pPr>
        <w:tabs>
          <w:tab w:val="num" w:pos="3600"/>
        </w:tabs>
        <w:ind w:left="3600" w:hanging="360"/>
      </w:pPr>
      <w:rPr>
        <w:rFonts w:ascii="Calibri Light" w:hAnsi="Calibri Light" w:hint="default"/>
      </w:rPr>
    </w:lvl>
    <w:lvl w:ilvl="5" w:tplc="571088F6" w:tentative="1">
      <w:start w:val="1"/>
      <w:numFmt w:val="bullet"/>
      <w:lvlText w:val="–"/>
      <w:lvlJc w:val="left"/>
      <w:pPr>
        <w:tabs>
          <w:tab w:val="num" w:pos="4320"/>
        </w:tabs>
        <w:ind w:left="4320" w:hanging="360"/>
      </w:pPr>
      <w:rPr>
        <w:rFonts w:ascii="Calibri Light" w:hAnsi="Calibri Light" w:hint="default"/>
      </w:rPr>
    </w:lvl>
    <w:lvl w:ilvl="6" w:tplc="A6A46D20" w:tentative="1">
      <w:start w:val="1"/>
      <w:numFmt w:val="bullet"/>
      <w:lvlText w:val="–"/>
      <w:lvlJc w:val="left"/>
      <w:pPr>
        <w:tabs>
          <w:tab w:val="num" w:pos="5040"/>
        </w:tabs>
        <w:ind w:left="5040" w:hanging="360"/>
      </w:pPr>
      <w:rPr>
        <w:rFonts w:ascii="Calibri Light" w:hAnsi="Calibri Light" w:hint="default"/>
      </w:rPr>
    </w:lvl>
    <w:lvl w:ilvl="7" w:tplc="DB3408F0" w:tentative="1">
      <w:start w:val="1"/>
      <w:numFmt w:val="bullet"/>
      <w:lvlText w:val="–"/>
      <w:lvlJc w:val="left"/>
      <w:pPr>
        <w:tabs>
          <w:tab w:val="num" w:pos="5760"/>
        </w:tabs>
        <w:ind w:left="5760" w:hanging="360"/>
      </w:pPr>
      <w:rPr>
        <w:rFonts w:ascii="Calibri Light" w:hAnsi="Calibri Light" w:hint="default"/>
      </w:rPr>
    </w:lvl>
    <w:lvl w:ilvl="8" w:tplc="62363DF0" w:tentative="1">
      <w:start w:val="1"/>
      <w:numFmt w:val="bullet"/>
      <w:lvlText w:val="–"/>
      <w:lvlJc w:val="left"/>
      <w:pPr>
        <w:tabs>
          <w:tab w:val="num" w:pos="6480"/>
        </w:tabs>
        <w:ind w:left="6480" w:hanging="360"/>
      </w:pPr>
      <w:rPr>
        <w:rFonts w:ascii="Calibri Light" w:hAnsi="Calibri Light" w:hint="default"/>
      </w:rPr>
    </w:lvl>
  </w:abstractNum>
  <w:num w:numId="1">
    <w:abstractNumId w:val="8"/>
  </w:num>
  <w:num w:numId="2">
    <w:abstractNumId w:val="0"/>
  </w:num>
  <w:num w:numId="3">
    <w:abstractNumId w:val="14"/>
  </w:num>
  <w:num w:numId="4">
    <w:abstractNumId w:val="16"/>
  </w:num>
  <w:num w:numId="5">
    <w:abstractNumId w:val="4"/>
  </w:num>
  <w:num w:numId="6">
    <w:abstractNumId w:val="2"/>
  </w:num>
  <w:num w:numId="7">
    <w:abstractNumId w:val="12"/>
  </w:num>
  <w:num w:numId="8">
    <w:abstractNumId w:val="20"/>
  </w:num>
  <w:num w:numId="9">
    <w:abstractNumId w:val="6"/>
  </w:num>
  <w:num w:numId="10">
    <w:abstractNumId w:val="21"/>
  </w:num>
  <w:num w:numId="11">
    <w:abstractNumId w:val="22"/>
  </w:num>
  <w:num w:numId="12">
    <w:abstractNumId w:val="11"/>
  </w:num>
  <w:num w:numId="13">
    <w:abstractNumId w:val="19"/>
  </w:num>
  <w:num w:numId="14">
    <w:abstractNumId w:val="17"/>
  </w:num>
  <w:num w:numId="15">
    <w:abstractNumId w:val="7"/>
  </w:num>
  <w:num w:numId="16">
    <w:abstractNumId w:val="13"/>
  </w:num>
  <w:num w:numId="17">
    <w:abstractNumId w:val="15"/>
  </w:num>
  <w:num w:numId="18">
    <w:abstractNumId w:val="18"/>
  </w:num>
  <w:num w:numId="19">
    <w:abstractNumId w:val="23"/>
  </w:num>
  <w:num w:numId="20">
    <w:abstractNumId w:val="10"/>
  </w:num>
  <w:num w:numId="21">
    <w:abstractNumId w:val="9"/>
  </w:num>
  <w:num w:numId="22">
    <w:abstractNumId w:val="1"/>
  </w:num>
  <w:num w:numId="23">
    <w:abstractNumId w:val="3"/>
  </w:num>
  <w:num w:numId="24">
    <w:abstractNumId w:val="24"/>
  </w:num>
  <w:num w:numId="2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27D"/>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520"/>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775"/>
    <w:rsid w:val="00070D11"/>
    <w:rsid w:val="00070EBE"/>
    <w:rsid w:val="0007133A"/>
    <w:rsid w:val="00071E0C"/>
    <w:rsid w:val="00071F50"/>
    <w:rsid w:val="00072489"/>
    <w:rsid w:val="00073AD6"/>
    <w:rsid w:val="00075128"/>
    <w:rsid w:val="000758A5"/>
    <w:rsid w:val="00075F67"/>
    <w:rsid w:val="00076323"/>
    <w:rsid w:val="00077746"/>
    <w:rsid w:val="0008019C"/>
    <w:rsid w:val="00080B67"/>
    <w:rsid w:val="00082D1A"/>
    <w:rsid w:val="0008304A"/>
    <w:rsid w:val="00084768"/>
    <w:rsid w:val="00084830"/>
    <w:rsid w:val="00084E98"/>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15B2"/>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14B5"/>
    <w:rsid w:val="000F339D"/>
    <w:rsid w:val="000F411B"/>
    <w:rsid w:val="000F42A7"/>
    <w:rsid w:val="000F4EC7"/>
    <w:rsid w:val="000F53AA"/>
    <w:rsid w:val="000F6AC4"/>
    <w:rsid w:val="001018A3"/>
    <w:rsid w:val="001027A0"/>
    <w:rsid w:val="00102E15"/>
    <w:rsid w:val="00102E7D"/>
    <w:rsid w:val="00103634"/>
    <w:rsid w:val="00105194"/>
    <w:rsid w:val="0010597C"/>
    <w:rsid w:val="001061F2"/>
    <w:rsid w:val="00106256"/>
    <w:rsid w:val="00106DA0"/>
    <w:rsid w:val="00106E08"/>
    <w:rsid w:val="001070AA"/>
    <w:rsid w:val="0011033E"/>
    <w:rsid w:val="001110C6"/>
    <w:rsid w:val="00111BF5"/>
    <w:rsid w:val="00112115"/>
    <w:rsid w:val="00114DB0"/>
    <w:rsid w:val="00120FA4"/>
    <w:rsid w:val="001214D4"/>
    <w:rsid w:val="00124226"/>
    <w:rsid w:val="001251C8"/>
    <w:rsid w:val="00126205"/>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170"/>
    <w:rsid w:val="00144D12"/>
    <w:rsid w:val="00144D87"/>
    <w:rsid w:val="00146E53"/>
    <w:rsid w:val="00147370"/>
    <w:rsid w:val="00150068"/>
    <w:rsid w:val="00150A3C"/>
    <w:rsid w:val="00150A4E"/>
    <w:rsid w:val="00153CEE"/>
    <w:rsid w:val="00154B94"/>
    <w:rsid w:val="00156A1A"/>
    <w:rsid w:val="00156DB3"/>
    <w:rsid w:val="001573F9"/>
    <w:rsid w:val="00157560"/>
    <w:rsid w:val="00161122"/>
    <w:rsid w:val="00161502"/>
    <w:rsid w:val="00162052"/>
    <w:rsid w:val="00162F8D"/>
    <w:rsid w:val="00163241"/>
    <w:rsid w:val="001663DD"/>
    <w:rsid w:val="00167588"/>
    <w:rsid w:val="00167FC4"/>
    <w:rsid w:val="00172F10"/>
    <w:rsid w:val="00173394"/>
    <w:rsid w:val="00173D6B"/>
    <w:rsid w:val="00175EEF"/>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0ED"/>
    <w:rsid w:val="001C09B3"/>
    <w:rsid w:val="001C139D"/>
    <w:rsid w:val="001C227D"/>
    <w:rsid w:val="001C4139"/>
    <w:rsid w:val="001C4279"/>
    <w:rsid w:val="001C56C4"/>
    <w:rsid w:val="001C68EC"/>
    <w:rsid w:val="001D0407"/>
    <w:rsid w:val="001D0A00"/>
    <w:rsid w:val="001D14B9"/>
    <w:rsid w:val="001D18C0"/>
    <w:rsid w:val="001D1C03"/>
    <w:rsid w:val="001D7A4B"/>
    <w:rsid w:val="001E13F4"/>
    <w:rsid w:val="001E17A3"/>
    <w:rsid w:val="001E1A51"/>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4ADE"/>
    <w:rsid w:val="00246EED"/>
    <w:rsid w:val="00250CCE"/>
    <w:rsid w:val="002526CA"/>
    <w:rsid w:val="00252DEF"/>
    <w:rsid w:val="00253172"/>
    <w:rsid w:val="00253575"/>
    <w:rsid w:val="00253FEF"/>
    <w:rsid w:val="00254DAF"/>
    <w:rsid w:val="0025542C"/>
    <w:rsid w:val="00255E03"/>
    <w:rsid w:val="00257718"/>
    <w:rsid w:val="00261CC7"/>
    <w:rsid w:val="002621B5"/>
    <w:rsid w:val="00262A4C"/>
    <w:rsid w:val="00263142"/>
    <w:rsid w:val="0026521F"/>
    <w:rsid w:val="00265364"/>
    <w:rsid w:val="002659F6"/>
    <w:rsid w:val="00265B8E"/>
    <w:rsid w:val="0026636B"/>
    <w:rsid w:val="00267BFB"/>
    <w:rsid w:val="00270888"/>
    <w:rsid w:val="00271063"/>
    <w:rsid w:val="00272FC1"/>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1F33"/>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A7847"/>
    <w:rsid w:val="002B0388"/>
    <w:rsid w:val="002B177B"/>
    <w:rsid w:val="002B1F9F"/>
    <w:rsid w:val="002B4CB7"/>
    <w:rsid w:val="002B5399"/>
    <w:rsid w:val="002B5508"/>
    <w:rsid w:val="002B65BC"/>
    <w:rsid w:val="002B6F66"/>
    <w:rsid w:val="002C01C2"/>
    <w:rsid w:val="002C0558"/>
    <w:rsid w:val="002C18FB"/>
    <w:rsid w:val="002C20BD"/>
    <w:rsid w:val="002C38AE"/>
    <w:rsid w:val="002C42B7"/>
    <w:rsid w:val="002C5EBE"/>
    <w:rsid w:val="002C600F"/>
    <w:rsid w:val="002C77B7"/>
    <w:rsid w:val="002C7929"/>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B82"/>
    <w:rsid w:val="002E6F37"/>
    <w:rsid w:val="002E72E7"/>
    <w:rsid w:val="002E7A1E"/>
    <w:rsid w:val="002F0166"/>
    <w:rsid w:val="002F0253"/>
    <w:rsid w:val="002F0969"/>
    <w:rsid w:val="002F1DE6"/>
    <w:rsid w:val="002F2F00"/>
    <w:rsid w:val="00300FB4"/>
    <w:rsid w:val="00303AA0"/>
    <w:rsid w:val="00304023"/>
    <w:rsid w:val="003063D3"/>
    <w:rsid w:val="00307DA9"/>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6BA0"/>
    <w:rsid w:val="003470D0"/>
    <w:rsid w:val="0034739C"/>
    <w:rsid w:val="00350578"/>
    <w:rsid w:val="00351105"/>
    <w:rsid w:val="003516ED"/>
    <w:rsid w:val="003545DC"/>
    <w:rsid w:val="00355BEA"/>
    <w:rsid w:val="003568B6"/>
    <w:rsid w:val="00360916"/>
    <w:rsid w:val="0036262E"/>
    <w:rsid w:val="00363F51"/>
    <w:rsid w:val="00364503"/>
    <w:rsid w:val="00364606"/>
    <w:rsid w:val="00364C3B"/>
    <w:rsid w:val="00365835"/>
    <w:rsid w:val="00365F80"/>
    <w:rsid w:val="00366178"/>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63B"/>
    <w:rsid w:val="00390064"/>
    <w:rsid w:val="00390114"/>
    <w:rsid w:val="00391023"/>
    <w:rsid w:val="003910F4"/>
    <w:rsid w:val="00392594"/>
    <w:rsid w:val="0039458B"/>
    <w:rsid w:val="00394F19"/>
    <w:rsid w:val="00395019"/>
    <w:rsid w:val="0039503F"/>
    <w:rsid w:val="00395EC9"/>
    <w:rsid w:val="003960DA"/>
    <w:rsid w:val="00396595"/>
    <w:rsid w:val="00397609"/>
    <w:rsid w:val="0039786A"/>
    <w:rsid w:val="003978D4"/>
    <w:rsid w:val="003A17B8"/>
    <w:rsid w:val="003A282C"/>
    <w:rsid w:val="003A4006"/>
    <w:rsid w:val="003A4486"/>
    <w:rsid w:val="003A537B"/>
    <w:rsid w:val="003A614A"/>
    <w:rsid w:val="003A7906"/>
    <w:rsid w:val="003B1169"/>
    <w:rsid w:val="003B156F"/>
    <w:rsid w:val="003B20D8"/>
    <w:rsid w:val="003B2100"/>
    <w:rsid w:val="003B2624"/>
    <w:rsid w:val="003B2E38"/>
    <w:rsid w:val="003B50D5"/>
    <w:rsid w:val="003B5B2F"/>
    <w:rsid w:val="003B5B46"/>
    <w:rsid w:val="003B5C46"/>
    <w:rsid w:val="003B5DE8"/>
    <w:rsid w:val="003B63BD"/>
    <w:rsid w:val="003B6BEB"/>
    <w:rsid w:val="003B78CE"/>
    <w:rsid w:val="003C18EE"/>
    <w:rsid w:val="003C1CA3"/>
    <w:rsid w:val="003C2215"/>
    <w:rsid w:val="003C2856"/>
    <w:rsid w:val="003C5561"/>
    <w:rsid w:val="003C59AD"/>
    <w:rsid w:val="003C68A7"/>
    <w:rsid w:val="003D07D5"/>
    <w:rsid w:val="003D33CB"/>
    <w:rsid w:val="003D3512"/>
    <w:rsid w:val="003D40B2"/>
    <w:rsid w:val="003D4543"/>
    <w:rsid w:val="003D4B34"/>
    <w:rsid w:val="003D545A"/>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1978"/>
    <w:rsid w:val="00424C72"/>
    <w:rsid w:val="00424EC4"/>
    <w:rsid w:val="00425EC2"/>
    <w:rsid w:val="0042609B"/>
    <w:rsid w:val="004262F6"/>
    <w:rsid w:val="00426C33"/>
    <w:rsid w:val="004344C0"/>
    <w:rsid w:val="00434B9D"/>
    <w:rsid w:val="0043576A"/>
    <w:rsid w:val="004406BC"/>
    <w:rsid w:val="00441BF8"/>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6E26"/>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B3E"/>
    <w:rsid w:val="004C5CAD"/>
    <w:rsid w:val="004C78A2"/>
    <w:rsid w:val="004D0DFF"/>
    <w:rsid w:val="004D1981"/>
    <w:rsid w:val="004D2685"/>
    <w:rsid w:val="004D5CC7"/>
    <w:rsid w:val="004D6F9B"/>
    <w:rsid w:val="004D750F"/>
    <w:rsid w:val="004E057F"/>
    <w:rsid w:val="004E1201"/>
    <w:rsid w:val="004E18EC"/>
    <w:rsid w:val="004E4A58"/>
    <w:rsid w:val="004E4C1F"/>
    <w:rsid w:val="004F0227"/>
    <w:rsid w:val="004F153C"/>
    <w:rsid w:val="004F25D1"/>
    <w:rsid w:val="004F295C"/>
    <w:rsid w:val="004F2C7E"/>
    <w:rsid w:val="004F2D81"/>
    <w:rsid w:val="004F2E44"/>
    <w:rsid w:val="004F2F97"/>
    <w:rsid w:val="004F378A"/>
    <w:rsid w:val="004F4209"/>
    <w:rsid w:val="004F51B3"/>
    <w:rsid w:val="004F6BAC"/>
    <w:rsid w:val="004F74CA"/>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3E3E"/>
    <w:rsid w:val="00524BB1"/>
    <w:rsid w:val="00524FB6"/>
    <w:rsid w:val="005261F7"/>
    <w:rsid w:val="00526435"/>
    <w:rsid w:val="00526A21"/>
    <w:rsid w:val="00526B67"/>
    <w:rsid w:val="00526EDE"/>
    <w:rsid w:val="0052760B"/>
    <w:rsid w:val="00530191"/>
    <w:rsid w:val="00530958"/>
    <w:rsid w:val="00531A55"/>
    <w:rsid w:val="00533164"/>
    <w:rsid w:val="00534359"/>
    <w:rsid w:val="00534864"/>
    <w:rsid w:val="00537CEF"/>
    <w:rsid w:val="00540430"/>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31AA"/>
    <w:rsid w:val="005654FC"/>
    <w:rsid w:val="005658C7"/>
    <w:rsid w:val="00565F5F"/>
    <w:rsid w:val="00565F8C"/>
    <w:rsid w:val="0056680E"/>
    <w:rsid w:val="005675BE"/>
    <w:rsid w:val="00567E3E"/>
    <w:rsid w:val="0057233D"/>
    <w:rsid w:val="00572575"/>
    <w:rsid w:val="005725D0"/>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6FA"/>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5ABB"/>
    <w:rsid w:val="005E674B"/>
    <w:rsid w:val="005E681A"/>
    <w:rsid w:val="005E70F4"/>
    <w:rsid w:val="005F2FCA"/>
    <w:rsid w:val="005F4A0C"/>
    <w:rsid w:val="005F64F6"/>
    <w:rsid w:val="005F6DED"/>
    <w:rsid w:val="005F6E25"/>
    <w:rsid w:val="005F759F"/>
    <w:rsid w:val="0060030B"/>
    <w:rsid w:val="00600497"/>
    <w:rsid w:val="00600F12"/>
    <w:rsid w:val="006025F1"/>
    <w:rsid w:val="00603574"/>
    <w:rsid w:val="00603D86"/>
    <w:rsid w:val="00607945"/>
    <w:rsid w:val="00607D32"/>
    <w:rsid w:val="0061024E"/>
    <w:rsid w:val="00610CCB"/>
    <w:rsid w:val="00610E88"/>
    <w:rsid w:val="006118D8"/>
    <w:rsid w:val="00612D96"/>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852"/>
    <w:rsid w:val="00632D98"/>
    <w:rsid w:val="006341A8"/>
    <w:rsid w:val="00635288"/>
    <w:rsid w:val="00635CA2"/>
    <w:rsid w:val="006363F7"/>
    <w:rsid w:val="00636659"/>
    <w:rsid w:val="00636D32"/>
    <w:rsid w:val="00636D53"/>
    <w:rsid w:val="0064084F"/>
    <w:rsid w:val="006426EB"/>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77E6D"/>
    <w:rsid w:val="00681EE2"/>
    <w:rsid w:val="006823D5"/>
    <w:rsid w:val="006833EA"/>
    <w:rsid w:val="0068436F"/>
    <w:rsid w:val="00684866"/>
    <w:rsid w:val="00684DBB"/>
    <w:rsid w:val="00684F33"/>
    <w:rsid w:val="00685845"/>
    <w:rsid w:val="006867EE"/>
    <w:rsid w:val="00690277"/>
    <w:rsid w:val="0069085C"/>
    <w:rsid w:val="00692DD0"/>
    <w:rsid w:val="0069388E"/>
    <w:rsid w:val="006939BD"/>
    <w:rsid w:val="00693C62"/>
    <w:rsid w:val="006940BF"/>
    <w:rsid w:val="006940E2"/>
    <w:rsid w:val="0069451C"/>
    <w:rsid w:val="006956DF"/>
    <w:rsid w:val="006969E8"/>
    <w:rsid w:val="00697418"/>
    <w:rsid w:val="006A0910"/>
    <w:rsid w:val="006A0EB1"/>
    <w:rsid w:val="006A12BA"/>
    <w:rsid w:val="006A4EF0"/>
    <w:rsid w:val="006A549B"/>
    <w:rsid w:val="006A5914"/>
    <w:rsid w:val="006A5982"/>
    <w:rsid w:val="006A5C27"/>
    <w:rsid w:val="006A6633"/>
    <w:rsid w:val="006A6FFB"/>
    <w:rsid w:val="006A783A"/>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E769D"/>
    <w:rsid w:val="006F0D69"/>
    <w:rsid w:val="006F1027"/>
    <w:rsid w:val="006F108F"/>
    <w:rsid w:val="006F298B"/>
    <w:rsid w:val="006F2CDF"/>
    <w:rsid w:val="006F3CF8"/>
    <w:rsid w:val="006F72CB"/>
    <w:rsid w:val="006F7480"/>
    <w:rsid w:val="0070003C"/>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0071"/>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46782"/>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478C"/>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615"/>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1F5C"/>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285A"/>
    <w:rsid w:val="00833B19"/>
    <w:rsid w:val="00833CEA"/>
    <w:rsid w:val="00834051"/>
    <w:rsid w:val="0083488F"/>
    <w:rsid w:val="00835E45"/>
    <w:rsid w:val="00835F90"/>
    <w:rsid w:val="00836255"/>
    <w:rsid w:val="00840378"/>
    <w:rsid w:val="008408FD"/>
    <w:rsid w:val="00842E62"/>
    <w:rsid w:val="008430F3"/>
    <w:rsid w:val="00843DE4"/>
    <w:rsid w:val="00844353"/>
    <w:rsid w:val="00844D6D"/>
    <w:rsid w:val="00845171"/>
    <w:rsid w:val="008471BC"/>
    <w:rsid w:val="00850929"/>
    <w:rsid w:val="00850994"/>
    <w:rsid w:val="0085190B"/>
    <w:rsid w:val="00851DFA"/>
    <w:rsid w:val="00851EA0"/>
    <w:rsid w:val="0085363C"/>
    <w:rsid w:val="00853B5C"/>
    <w:rsid w:val="00853F14"/>
    <w:rsid w:val="00855509"/>
    <w:rsid w:val="00856027"/>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5F7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B7F06"/>
    <w:rsid w:val="008C0B4B"/>
    <w:rsid w:val="008C16B1"/>
    <w:rsid w:val="008C1F54"/>
    <w:rsid w:val="008C2A2A"/>
    <w:rsid w:val="008C3008"/>
    <w:rsid w:val="008C3528"/>
    <w:rsid w:val="008C3624"/>
    <w:rsid w:val="008C370A"/>
    <w:rsid w:val="008C4224"/>
    <w:rsid w:val="008C4876"/>
    <w:rsid w:val="008C49E5"/>
    <w:rsid w:val="008C4E21"/>
    <w:rsid w:val="008C604E"/>
    <w:rsid w:val="008C7E8A"/>
    <w:rsid w:val="008D05E3"/>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3AF"/>
    <w:rsid w:val="008F187D"/>
    <w:rsid w:val="008F1CBE"/>
    <w:rsid w:val="008F2DE4"/>
    <w:rsid w:val="008F3877"/>
    <w:rsid w:val="008F43C6"/>
    <w:rsid w:val="008F5038"/>
    <w:rsid w:val="008F5322"/>
    <w:rsid w:val="008F5558"/>
    <w:rsid w:val="008F686C"/>
    <w:rsid w:val="008F75A8"/>
    <w:rsid w:val="009004DF"/>
    <w:rsid w:val="009008B0"/>
    <w:rsid w:val="00901AA5"/>
    <w:rsid w:val="009025DF"/>
    <w:rsid w:val="00902836"/>
    <w:rsid w:val="009034E6"/>
    <w:rsid w:val="00904B20"/>
    <w:rsid w:val="00905360"/>
    <w:rsid w:val="00905A80"/>
    <w:rsid w:val="00905D3F"/>
    <w:rsid w:val="00905DFC"/>
    <w:rsid w:val="00906320"/>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0CA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120A"/>
    <w:rsid w:val="00941D27"/>
    <w:rsid w:val="00941EB7"/>
    <w:rsid w:val="0094247F"/>
    <w:rsid w:val="009429F7"/>
    <w:rsid w:val="00943A3B"/>
    <w:rsid w:val="00945015"/>
    <w:rsid w:val="00946650"/>
    <w:rsid w:val="00946A91"/>
    <w:rsid w:val="00946F6D"/>
    <w:rsid w:val="00946FF3"/>
    <w:rsid w:val="00954C5C"/>
    <w:rsid w:val="009552BD"/>
    <w:rsid w:val="00955380"/>
    <w:rsid w:val="0095602D"/>
    <w:rsid w:val="0095621F"/>
    <w:rsid w:val="0095665F"/>
    <w:rsid w:val="00957B6F"/>
    <w:rsid w:val="00957CB7"/>
    <w:rsid w:val="00957CD3"/>
    <w:rsid w:val="009639D8"/>
    <w:rsid w:val="00963AFD"/>
    <w:rsid w:val="00964DAB"/>
    <w:rsid w:val="00965221"/>
    <w:rsid w:val="0096581A"/>
    <w:rsid w:val="00967AC9"/>
    <w:rsid w:val="00970FCB"/>
    <w:rsid w:val="00971F40"/>
    <w:rsid w:val="00972443"/>
    <w:rsid w:val="00972E3C"/>
    <w:rsid w:val="00973412"/>
    <w:rsid w:val="00973BB0"/>
    <w:rsid w:val="00973BDA"/>
    <w:rsid w:val="009742E9"/>
    <w:rsid w:val="00975C73"/>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87782"/>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742"/>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2A80"/>
    <w:rsid w:val="009D3A23"/>
    <w:rsid w:val="009D3E26"/>
    <w:rsid w:val="009D4B94"/>
    <w:rsid w:val="009D5235"/>
    <w:rsid w:val="009D5252"/>
    <w:rsid w:val="009D5E97"/>
    <w:rsid w:val="009D7FE4"/>
    <w:rsid w:val="009E09B8"/>
    <w:rsid w:val="009E2AE1"/>
    <w:rsid w:val="009E3297"/>
    <w:rsid w:val="009E33A6"/>
    <w:rsid w:val="009E360C"/>
    <w:rsid w:val="009F09A7"/>
    <w:rsid w:val="009F22C4"/>
    <w:rsid w:val="009F2EA4"/>
    <w:rsid w:val="009F30A9"/>
    <w:rsid w:val="009F4258"/>
    <w:rsid w:val="009F701B"/>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66C"/>
    <w:rsid w:val="00A27E0E"/>
    <w:rsid w:val="00A3075D"/>
    <w:rsid w:val="00A31C23"/>
    <w:rsid w:val="00A31F3F"/>
    <w:rsid w:val="00A32FF7"/>
    <w:rsid w:val="00A363E4"/>
    <w:rsid w:val="00A37A83"/>
    <w:rsid w:val="00A445C2"/>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3578"/>
    <w:rsid w:val="00A7446C"/>
    <w:rsid w:val="00A75132"/>
    <w:rsid w:val="00A77684"/>
    <w:rsid w:val="00A8005D"/>
    <w:rsid w:val="00A80CE0"/>
    <w:rsid w:val="00A82666"/>
    <w:rsid w:val="00A84A2A"/>
    <w:rsid w:val="00A877CF"/>
    <w:rsid w:val="00A90726"/>
    <w:rsid w:val="00A9073E"/>
    <w:rsid w:val="00A9163B"/>
    <w:rsid w:val="00A936CB"/>
    <w:rsid w:val="00A93A24"/>
    <w:rsid w:val="00A93F86"/>
    <w:rsid w:val="00A963A4"/>
    <w:rsid w:val="00A967F4"/>
    <w:rsid w:val="00A96F4B"/>
    <w:rsid w:val="00A97F47"/>
    <w:rsid w:val="00AA0425"/>
    <w:rsid w:val="00AA102E"/>
    <w:rsid w:val="00AA1373"/>
    <w:rsid w:val="00AA1F26"/>
    <w:rsid w:val="00AA2718"/>
    <w:rsid w:val="00AA2C51"/>
    <w:rsid w:val="00AA2C82"/>
    <w:rsid w:val="00AA2DCA"/>
    <w:rsid w:val="00AA35EF"/>
    <w:rsid w:val="00AA56D1"/>
    <w:rsid w:val="00AA6B57"/>
    <w:rsid w:val="00AA7038"/>
    <w:rsid w:val="00AA7AD3"/>
    <w:rsid w:val="00AB2621"/>
    <w:rsid w:val="00AB275C"/>
    <w:rsid w:val="00AB30A2"/>
    <w:rsid w:val="00AB4312"/>
    <w:rsid w:val="00AB49A4"/>
    <w:rsid w:val="00AB5AF0"/>
    <w:rsid w:val="00AB5E52"/>
    <w:rsid w:val="00AB6E0B"/>
    <w:rsid w:val="00AB7A07"/>
    <w:rsid w:val="00AC1906"/>
    <w:rsid w:val="00AC21E3"/>
    <w:rsid w:val="00AC3007"/>
    <w:rsid w:val="00AC3513"/>
    <w:rsid w:val="00AC3927"/>
    <w:rsid w:val="00AC3B57"/>
    <w:rsid w:val="00AC3F5B"/>
    <w:rsid w:val="00AC5F48"/>
    <w:rsid w:val="00AC6BAD"/>
    <w:rsid w:val="00AC6C46"/>
    <w:rsid w:val="00AC7EFD"/>
    <w:rsid w:val="00AD00EC"/>
    <w:rsid w:val="00AD0208"/>
    <w:rsid w:val="00AD2E7A"/>
    <w:rsid w:val="00AD30A8"/>
    <w:rsid w:val="00AD3155"/>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3BCD"/>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43E"/>
    <w:rsid w:val="00B23BE2"/>
    <w:rsid w:val="00B23EDD"/>
    <w:rsid w:val="00B23EEB"/>
    <w:rsid w:val="00B244E4"/>
    <w:rsid w:val="00B24E6A"/>
    <w:rsid w:val="00B25143"/>
    <w:rsid w:val="00B25762"/>
    <w:rsid w:val="00B258BB"/>
    <w:rsid w:val="00B25BF3"/>
    <w:rsid w:val="00B26521"/>
    <w:rsid w:val="00B277F3"/>
    <w:rsid w:val="00B27C4D"/>
    <w:rsid w:val="00B30777"/>
    <w:rsid w:val="00B30787"/>
    <w:rsid w:val="00B30E1E"/>
    <w:rsid w:val="00B32438"/>
    <w:rsid w:val="00B32FFD"/>
    <w:rsid w:val="00B33EFD"/>
    <w:rsid w:val="00B342DA"/>
    <w:rsid w:val="00B35510"/>
    <w:rsid w:val="00B36C7C"/>
    <w:rsid w:val="00B37612"/>
    <w:rsid w:val="00B37628"/>
    <w:rsid w:val="00B40C58"/>
    <w:rsid w:val="00B43B2A"/>
    <w:rsid w:val="00B43CE5"/>
    <w:rsid w:val="00B44943"/>
    <w:rsid w:val="00B44B38"/>
    <w:rsid w:val="00B44EA5"/>
    <w:rsid w:val="00B455AD"/>
    <w:rsid w:val="00B456D9"/>
    <w:rsid w:val="00B45B5D"/>
    <w:rsid w:val="00B4690B"/>
    <w:rsid w:val="00B46AF7"/>
    <w:rsid w:val="00B50CBC"/>
    <w:rsid w:val="00B51155"/>
    <w:rsid w:val="00B517E9"/>
    <w:rsid w:val="00B51D38"/>
    <w:rsid w:val="00B51EEF"/>
    <w:rsid w:val="00B51F13"/>
    <w:rsid w:val="00B52BE4"/>
    <w:rsid w:val="00B531C1"/>
    <w:rsid w:val="00B53ED8"/>
    <w:rsid w:val="00B54022"/>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3F10"/>
    <w:rsid w:val="00B7567D"/>
    <w:rsid w:val="00B765AD"/>
    <w:rsid w:val="00B76647"/>
    <w:rsid w:val="00B769AB"/>
    <w:rsid w:val="00B772FE"/>
    <w:rsid w:val="00B774E9"/>
    <w:rsid w:val="00B776FE"/>
    <w:rsid w:val="00B81D26"/>
    <w:rsid w:val="00B82348"/>
    <w:rsid w:val="00B83A39"/>
    <w:rsid w:val="00B848FF"/>
    <w:rsid w:val="00B85082"/>
    <w:rsid w:val="00B86AFA"/>
    <w:rsid w:val="00B90264"/>
    <w:rsid w:val="00B902E7"/>
    <w:rsid w:val="00B90A51"/>
    <w:rsid w:val="00B913AA"/>
    <w:rsid w:val="00B92202"/>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1B"/>
    <w:rsid w:val="00BB7663"/>
    <w:rsid w:val="00BC1AC4"/>
    <w:rsid w:val="00BC4A2A"/>
    <w:rsid w:val="00BC519C"/>
    <w:rsid w:val="00BC5B66"/>
    <w:rsid w:val="00BC6DC0"/>
    <w:rsid w:val="00BC700C"/>
    <w:rsid w:val="00BC7775"/>
    <w:rsid w:val="00BC792D"/>
    <w:rsid w:val="00BD1574"/>
    <w:rsid w:val="00BD200E"/>
    <w:rsid w:val="00BD279D"/>
    <w:rsid w:val="00BD2C7B"/>
    <w:rsid w:val="00BD361B"/>
    <w:rsid w:val="00BD460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129"/>
    <w:rsid w:val="00C1017A"/>
    <w:rsid w:val="00C116B2"/>
    <w:rsid w:val="00C12D09"/>
    <w:rsid w:val="00C13064"/>
    <w:rsid w:val="00C13FA5"/>
    <w:rsid w:val="00C14566"/>
    <w:rsid w:val="00C151BB"/>
    <w:rsid w:val="00C15CFB"/>
    <w:rsid w:val="00C16E18"/>
    <w:rsid w:val="00C201A5"/>
    <w:rsid w:val="00C202DD"/>
    <w:rsid w:val="00C2068A"/>
    <w:rsid w:val="00C20978"/>
    <w:rsid w:val="00C21DEF"/>
    <w:rsid w:val="00C23190"/>
    <w:rsid w:val="00C23434"/>
    <w:rsid w:val="00C237E6"/>
    <w:rsid w:val="00C2428F"/>
    <w:rsid w:val="00C24F55"/>
    <w:rsid w:val="00C251A0"/>
    <w:rsid w:val="00C26F7B"/>
    <w:rsid w:val="00C3077F"/>
    <w:rsid w:val="00C312A8"/>
    <w:rsid w:val="00C31EC5"/>
    <w:rsid w:val="00C32836"/>
    <w:rsid w:val="00C32CBD"/>
    <w:rsid w:val="00C33A5E"/>
    <w:rsid w:val="00C3438B"/>
    <w:rsid w:val="00C35BED"/>
    <w:rsid w:val="00C35F4A"/>
    <w:rsid w:val="00C35F5A"/>
    <w:rsid w:val="00C36C75"/>
    <w:rsid w:val="00C400A2"/>
    <w:rsid w:val="00C404C1"/>
    <w:rsid w:val="00C40AF7"/>
    <w:rsid w:val="00C40B06"/>
    <w:rsid w:val="00C40F7A"/>
    <w:rsid w:val="00C41E47"/>
    <w:rsid w:val="00C420A0"/>
    <w:rsid w:val="00C42F96"/>
    <w:rsid w:val="00C43665"/>
    <w:rsid w:val="00C4378C"/>
    <w:rsid w:val="00C44318"/>
    <w:rsid w:val="00C449A4"/>
    <w:rsid w:val="00C45E32"/>
    <w:rsid w:val="00C46070"/>
    <w:rsid w:val="00C465A1"/>
    <w:rsid w:val="00C47180"/>
    <w:rsid w:val="00C476E7"/>
    <w:rsid w:val="00C504CB"/>
    <w:rsid w:val="00C510C3"/>
    <w:rsid w:val="00C51DD1"/>
    <w:rsid w:val="00C51F11"/>
    <w:rsid w:val="00C52358"/>
    <w:rsid w:val="00C52F22"/>
    <w:rsid w:val="00C53B3F"/>
    <w:rsid w:val="00C5492B"/>
    <w:rsid w:val="00C56527"/>
    <w:rsid w:val="00C57D14"/>
    <w:rsid w:val="00C6003E"/>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77FD2"/>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3EE1"/>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072"/>
    <w:rsid w:val="00CF053F"/>
    <w:rsid w:val="00CF0DFB"/>
    <w:rsid w:val="00CF21E5"/>
    <w:rsid w:val="00CF2ADD"/>
    <w:rsid w:val="00CF3028"/>
    <w:rsid w:val="00CF3106"/>
    <w:rsid w:val="00CF4D66"/>
    <w:rsid w:val="00CF6236"/>
    <w:rsid w:val="00D0034A"/>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6D3B"/>
    <w:rsid w:val="00D37C65"/>
    <w:rsid w:val="00D37DEE"/>
    <w:rsid w:val="00D401AF"/>
    <w:rsid w:val="00D403D8"/>
    <w:rsid w:val="00D4098D"/>
    <w:rsid w:val="00D41284"/>
    <w:rsid w:val="00D420A4"/>
    <w:rsid w:val="00D427CE"/>
    <w:rsid w:val="00D449E8"/>
    <w:rsid w:val="00D44A87"/>
    <w:rsid w:val="00D44B6C"/>
    <w:rsid w:val="00D45992"/>
    <w:rsid w:val="00D47213"/>
    <w:rsid w:val="00D50252"/>
    <w:rsid w:val="00D50345"/>
    <w:rsid w:val="00D51449"/>
    <w:rsid w:val="00D51938"/>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0F58"/>
    <w:rsid w:val="00D815C7"/>
    <w:rsid w:val="00D834F9"/>
    <w:rsid w:val="00D845F3"/>
    <w:rsid w:val="00D87131"/>
    <w:rsid w:val="00D8737F"/>
    <w:rsid w:val="00D875C5"/>
    <w:rsid w:val="00D908C8"/>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A3DBB"/>
    <w:rsid w:val="00DB101D"/>
    <w:rsid w:val="00DB1385"/>
    <w:rsid w:val="00DB1E5C"/>
    <w:rsid w:val="00DB2046"/>
    <w:rsid w:val="00DB2449"/>
    <w:rsid w:val="00DB2728"/>
    <w:rsid w:val="00DB27FC"/>
    <w:rsid w:val="00DB4104"/>
    <w:rsid w:val="00DB4ACD"/>
    <w:rsid w:val="00DB57F8"/>
    <w:rsid w:val="00DB65CC"/>
    <w:rsid w:val="00DB7B76"/>
    <w:rsid w:val="00DC14E3"/>
    <w:rsid w:val="00DC209A"/>
    <w:rsid w:val="00DC2AD5"/>
    <w:rsid w:val="00DC2CEF"/>
    <w:rsid w:val="00DC6780"/>
    <w:rsid w:val="00DD01D8"/>
    <w:rsid w:val="00DD07AA"/>
    <w:rsid w:val="00DD0BC9"/>
    <w:rsid w:val="00DD34F6"/>
    <w:rsid w:val="00DD4094"/>
    <w:rsid w:val="00DD4947"/>
    <w:rsid w:val="00DD541C"/>
    <w:rsid w:val="00DD6407"/>
    <w:rsid w:val="00DD6F8A"/>
    <w:rsid w:val="00DD6FE3"/>
    <w:rsid w:val="00DE0794"/>
    <w:rsid w:val="00DE132E"/>
    <w:rsid w:val="00DE1BE3"/>
    <w:rsid w:val="00DE234B"/>
    <w:rsid w:val="00DE2F70"/>
    <w:rsid w:val="00DE3D29"/>
    <w:rsid w:val="00DE432F"/>
    <w:rsid w:val="00DE4A08"/>
    <w:rsid w:val="00DE4D46"/>
    <w:rsid w:val="00DE4E8B"/>
    <w:rsid w:val="00DE5327"/>
    <w:rsid w:val="00DE5419"/>
    <w:rsid w:val="00DE5698"/>
    <w:rsid w:val="00DE5EA8"/>
    <w:rsid w:val="00DE69B8"/>
    <w:rsid w:val="00DF128A"/>
    <w:rsid w:val="00DF1A26"/>
    <w:rsid w:val="00DF1AFC"/>
    <w:rsid w:val="00DF221B"/>
    <w:rsid w:val="00DF2306"/>
    <w:rsid w:val="00DF2DF8"/>
    <w:rsid w:val="00DF686E"/>
    <w:rsid w:val="00DF7125"/>
    <w:rsid w:val="00E015DC"/>
    <w:rsid w:val="00E017C8"/>
    <w:rsid w:val="00E025D7"/>
    <w:rsid w:val="00E032E7"/>
    <w:rsid w:val="00E035DD"/>
    <w:rsid w:val="00E0454C"/>
    <w:rsid w:val="00E047B2"/>
    <w:rsid w:val="00E06612"/>
    <w:rsid w:val="00E06808"/>
    <w:rsid w:val="00E07AF5"/>
    <w:rsid w:val="00E1053F"/>
    <w:rsid w:val="00E1058D"/>
    <w:rsid w:val="00E1127D"/>
    <w:rsid w:val="00E116B2"/>
    <w:rsid w:val="00E120A3"/>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A61"/>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A76"/>
    <w:rsid w:val="00E90BF8"/>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36"/>
    <w:rsid w:val="00EB1E7D"/>
    <w:rsid w:val="00EB20DF"/>
    <w:rsid w:val="00EB2957"/>
    <w:rsid w:val="00EB2961"/>
    <w:rsid w:val="00EB2F84"/>
    <w:rsid w:val="00EB3535"/>
    <w:rsid w:val="00EB353F"/>
    <w:rsid w:val="00EB3674"/>
    <w:rsid w:val="00EB3D1F"/>
    <w:rsid w:val="00EB50BE"/>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25C8"/>
    <w:rsid w:val="00ED31FF"/>
    <w:rsid w:val="00ED4B61"/>
    <w:rsid w:val="00ED5420"/>
    <w:rsid w:val="00ED6E97"/>
    <w:rsid w:val="00EE059C"/>
    <w:rsid w:val="00EE0F19"/>
    <w:rsid w:val="00EE2D66"/>
    <w:rsid w:val="00EE41E9"/>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3A1"/>
    <w:rsid w:val="00EF646F"/>
    <w:rsid w:val="00EF7CB7"/>
    <w:rsid w:val="00F0049D"/>
    <w:rsid w:val="00F01CD6"/>
    <w:rsid w:val="00F01F38"/>
    <w:rsid w:val="00F02E30"/>
    <w:rsid w:val="00F02F56"/>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4E1"/>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2D36"/>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3CC"/>
    <w:rsid w:val="00F9271F"/>
    <w:rsid w:val="00F9290B"/>
    <w:rsid w:val="00F96980"/>
    <w:rsid w:val="00FA213D"/>
    <w:rsid w:val="00FA46D7"/>
    <w:rsid w:val="00FA6372"/>
    <w:rsid w:val="00FA65E0"/>
    <w:rsid w:val="00FA6935"/>
    <w:rsid w:val="00FA6DD2"/>
    <w:rsid w:val="00FA790A"/>
    <w:rsid w:val="00FA7B6C"/>
    <w:rsid w:val="00FB0130"/>
    <w:rsid w:val="00FB0503"/>
    <w:rsid w:val="00FB0B33"/>
    <w:rsid w:val="00FB220C"/>
    <w:rsid w:val="00FB2746"/>
    <w:rsid w:val="00FB2B19"/>
    <w:rsid w:val="00FB35D1"/>
    <w:rsid w:val="00FB40A0"/>
    <w:rsid w:val="00FB4F43"/>
    <w:rsid w:val="00FB53C0"/>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4E27"/>
    <w:rsid w:val="00FD5002"/>
    <w:rsid w:val="00FD51B9"/>
    <w:rsid w:val="00FD527B"/>
    <w:rsid w:val="00FD5316"/>
    <w:rsid w:val="00FD567F"/>
    <w:rsid w:val="00FD5D24"/>
    <w:rsid w:val="00FE1078"/>
    <w:rsid w:val="00FE2FF9"/>
    <w:rsid w:val="00FE39CC"/>
    <w:rsid w:val="00FE458F"/>
    <w:rsid w:val="00FE47AB"/>
    <w:rsid w:val="00FE52CB"/>
    <w:rsid w:val="00FE54C3"/>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 w:val="00FF79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TALChar">
    <w:name w:val="TAL Char"/>
    <w:qFormat/>
    <w:rsid w:val="00811F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17779526">
      <w:bodyDiv w:val="1"/>
      <w:marLeft w:val="0"/>
      <w:marRight w:val="0"/>
      <w:marTop w:val="0"/>
      <w:marBottom w:val="0"/>
      <w:divBdr>
        <w:top w:val="none" w:sz="0" w:space="0" w:color="auto"/>
        <w:left w:val="none" w:sz="0" w:space="0" w:color="auto"/>
        <w:bottom w:val="none" w:sz="0" w:space="0" w:color="auto"/>
        <w:right w:val="none" w:sz="0" w:space="0" w:color="auto"/>
      </w:divBdr>
      <w:divsChild>
        <w:div w:id="1881747124">
          <w:marLeft w:val="1267"/>
          <w:marRight w:val="0"/>
          <w:marTop w:val="180"/>
          <w:marBottom w:val="0"/>
          <w:divBdr>
            <w:top w:val="none" w:sz="0" w:space="0" w:color="auto"/>
            <w:left w:val="none" w:sz="0" w:space="0" w:color="auto"/>
            <w:bottom w:val="none" w:sz="0" w:space="0" w:color="auto"/>
            <w:right w:val="none" w:sz="0" w:space="0" w:color="auto"/>
          </w:divBdr>
        </w:div>
        <w:div w:id="347483402">
          <w:marLeft w:val="1267"/>
          <w:marRight w:val="0"/>
          <w:marTop w:val="180"/>
          <w:marBottom w:val="0"/>
          <w:divBdr>
            <w:top w:val="none" w:sz="0" w:space="0" w:color="auto"/>
            <w:left w:val="none" w:sz="0" w:space="0" w:color="auto"/>
            <w:bottom w:val="none" w:sz="0" w:space="0" w:color="auto"/>
            <w:right w:val="none" w:sz="0" w:space="0" w:color="auto"/>
          </w:divBdr>
        </w:div>
        <w:div w:id="860360026">
          <w:marLeft w:val="1267"/>
          <w:marRight w:val="0"/>
          <w:marTop w:val="180"/>
          <w:marBottom w:val="0"/>
          <w:divBdr>
            <w:top w:val="none" w:sz="0" w:space="0" w:color="auto"/>
            <w:left w:val="none" w:sz="0" w:space="0" w:color="auto"/>
            <w:bottom w:val="none" w:sz="0" w:space="0" w:color="auto"/>
            <w:right w:val="none" w:sz="0" w:space="0" w:color="auto"/>
          </w:divBdr>
        </w:div>
        <w:div w:id="385186380">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E0413-FD78-4438-8A6B-C5A2F2CF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6108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2020-10-22T15:44:00Z</dcterms:created>
  <dcterms:modified xsi:type="dcterms:W3CDTF">2021-01-14T20:27:00Z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